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sz w:val="38"/>
          <w:szCs w:val="38"/>
          <w:lang w:eastAsia="zh-CN"/>
        </w:rPr>
      </w:pPr>
      <w:r>
        <w:rPr>
          <w:rFonts w:hint="eastAsia" w:ascii="华文中宋" w:hAnsi="华文中宋" w:eastAsia="华文中宋" w:cs="华文中宋"/>
          <w:sz w:val="38"/>
          <w:szCs w:val="38"/>
          <w:lang w:eastAsia="zh-CN"/>
        </w:rPr>
        <w:t>高雅艺术润校园—2022年上海市中小学校长艺术素养提升研修班课程内容一览表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ind w:firstLine="590"/>
        <w:jc w:val="center"/>
        <w:textAlignment w:val="auto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(一)戏剧版块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444"/>
        <w:tblOverlap w:val="never"/>
        <w:tblW w:w="9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7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课程模块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名师讲座（5场）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戏剧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与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艺术教育解读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——如何欣赏戏剧艺术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艺术教育的课程构架与组织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戏剧教育管理者论教育戏剧（DIE）与教育剧场（TIE）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故事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剧本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创造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与舞台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意识表现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——从一家剧院说起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“景观社会”下我们应该相信什么？——解读戏剧舞台的哲理应用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精品导赏（6场）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难以忘怀的红色经典——话剧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英雄儿女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》导赏1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上海话剧艺术中心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话剧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英雄儿女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》导赏2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燃烧理想的如歌岁月——舞台剧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《觉醒年代》导赏1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上海话剧艺术中心舞台剧《觉醒年代》导赏2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舞台上构建的蒙太奇——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原创悬疑剧《心迷宫》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后台之旅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导赏1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上海话剧艺术中心原创悬疑剧《心迷宫》导赏2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实践体验（7场）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上话剧场深度游学——舞监/舞美工作坊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戏剧游戏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教学法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50个教育戏剧的技巧范式体验课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戏剧教育跨学科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融合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应用体验课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戏剧理论基础及即兴编创体验课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演出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舞台呈现及即兴排演体验课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运用导演思维策划设计校园戏剧化活动案例实践课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5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上海市艺术特色学校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观摩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校园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戏剧节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”剧·变“戏剧教育论坛主题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研讨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会</w:t>
            </w:r>
          </w:p>
        </w:tc>
      </w:tr>
    </w:tbl>
    <w:p>
      <w:pPr>
        <w:pStyle w:val="5"/>
        <w:spacing w:before="112" w:line="320" w:lineRule="exact"/>
        <w:jc w:val="center"/>
        <w:rPr>
          <w:rFonts w:hint="eastAsia" w:ascii="等线" w:hAnsi="等线" w:eastAsia="等线" w:cs="Times New Roman"/>
          <w:b/>
          <w:kern w:val="2"/>
          <w:sz w:val="24"/>
          <w:lang w:val="en-US" w:bidi="ar-SA"/>
        </w:rPr>
      </w:pPr>
    </w:p>
    <w:p>
      <w:pPr>
        <w:pStyle w:val="2"/>
        <w:spacing w:line="520" w:lineRule="exact"/>
        <w:rPr>
          <w:rFonts w:hint="eastAsia" w:ascii="仿宋" w:hAnsi="仿宋" w:eastAsia="仿宋" w:cs="仿宋"/>
          <w:b w:val="0"/>
          <w:sz w:val="30"/>
          <w:szCs w:val="30"/>
        </w:rPr>
      </w:pPr>
    </w:p>
    <w:p>
      <w:pPr>
        <w:pStyle w:val="2"/>
        <w:spacing w:line="520" w:lineRule="exact"/>
        <w:rPr>
          <w:rFonts w:hint="eastAsia" w:ascii="仿宋" w:hAnsi="仿宋" w:eastAsia="仿宋" w:cs="仿宋"/>
          <w:b w:val="0"/>
          <w:sz w:val="30"/>
          <w:szCs w:val="30"/>
        </w:rPr>
      </w:pPr>
    </w:p>
    <w:p>
      <w:pPr>
        <w:pStyle w:val="2"/>
        <w:spacing w:line="520" w:lineRule="exact"/>
        <w:rPr>
          <w:rFonts w:hint="eastAsia" w:ascii="仿宋" w:hAnsi="仿宋" w:eastAsia="仿宋" w:cs="仿宋"/>
          <w:b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ind w:firstLine="590"/>
        <w:jc w:val="center"/>
        <w:textAlignment w:val="auto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（二）舞蹈版块</w:t>
      </w:r>
    </w:p>
    <w:tbl>
      <w:tblPr>
        <w:tblStyle w:val="3"/>
        <w:tblpPr w:leftFromText="180" w:rightFromText="180" w:vertAnchor="text" w:horzAnchor="page" w:tblpX="1763" w:tblpY="444"/>
        <w:tblOverlap w:val="never"/>
        <w:tblW w:w="8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highlight w:val="none"/>
                <w:lang w:val="en-US" w:bidi="ar-SA"/>
              </w:rPr>
              <w:t>课程模块</w:t>
            </w: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highlight w:val="none"/>
                <w:lang w:val="en-US" w:bidi="ar-SA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名师讲座（5场）</w:t>
            </w: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“舞蹈的美育力量”主题讲座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“素质教育视野下校园舞蹈美育的原理与方法”主题讲座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“中国古典舞的发展与演变”主题讲座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“现代舞艺术与中国文化”主题讲座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“西方芭蕾发展”主题讲座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精品导赏（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场）</w:t>
            </w: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上海芭蕾舞团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经典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芭蕾舞剧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（具体剧目待定）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导赏1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上海芭蕾舞团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经典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芭蕾舞剧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（具体剧目待定）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导赏2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舞剧《海上夫人》导赏1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舞剧《海上夫人》导赏2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中国舞蹈“荷花奖”参评舞剧（具体剧目待定）导赏1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中国舞蹈“荷花奖”参评舞剧（具体剧目待定）导赏2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实践体验（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场）</w:t>
            </w: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走进剧场与院团-上海国际舞蹈中心及“两团两校”参观导览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民族民间舞体验工作坊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沉浸式创作体验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工作坊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  <w:t>《25步》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bidi="ar-SA"/>
              </w:rPr>
              <w:t>“舞蹈与校园美育”主题研讨会</w:t>
            </w:r>
          </w:p>
        </w:tc>
      </w:tr>
    </w:tbl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ind w:firstLine="590"/>
        <w:jc w:val="center"/>
        <w:textAlignment w:val="auto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(三)中国画版块</w:t>
      </w:r>
    </w:p>
    <w:tbl>
      <w:tblPr>
        <w:tblStyle w:val="3"/>
        <w:tblpPr w:leftFromText="180" w:rightFromText="180" w:vertAnchor="text" w:horzAnchor="page" w:tblpXSpec="center" w:tblpY="444"/>
        <w:tblOverlap w:val="never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课程模块</w:t>
            </w: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名师讲座（5场）</w:t>
            </w: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中国画里的文心与画意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海上画派与江南文化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中国美术史概述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学校艺术教育管理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中国画课程进校园：怎样编写校本中国画特色课程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精品导赏（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场）</w:t>
            </w: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上海近现代美术作品展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海派艺术专题展及海上八家系列:馆藏名作赏析（从典藏作品中挑选名家及名作）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融合中西—林风眠的艺术人生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美育人生—吴冠中的艺术人生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笔墨丹青—程十发的艺术人生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方寸之间—贺友直的艺术人生（结合今年诞辰100周年作品展进行导赏）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少儿美术大展导赏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实践体验（5场）</w:t>
            </w: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中国花鸟画体验与实践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中国工笔画体验与实践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中国山水画体验与实践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中国人物画体验与实践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上海市艺术特色学校或课程观摩与研讨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ind w:firstLine="590"/>
        <w:jc w:val="center"/>
        <w:textAlignment w:val="auto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(四)音乐（歌剧）版块</w:t>
      </w:r>
    </w:p>
    <w:tbl>
      <w:tblPr>
        <w:tblStyle w:val="3"/>
        <w:tblpPr w:leftFromText="180" w:rightFromText="180" w:vertAnchor="text" w:horzAnchor="page" w:tblpXSpec="center" w:tblpY="444"/>
        <w:tblOverlap w:val="never"/>
        <w:tblW w:w="9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7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课程模块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名师讲座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（6场）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西方音乐导赏之交响曲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中国传统音乐畅想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音乐人类学漫谈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歌剧艺术系列讲座之一：漫谈罗西尼喜歌剧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歌剧艺术系列讲座之二：解析威尔第经典歌剧《茶花女》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艺术管理与中小学校园艺术普及讲座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精品导赏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（6场）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上海音乐学院&amp;意大利科莫社会歌剧院联合制作 罗西尼歌剧《萨维利亚理发师》导赏1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上海音乐学院&amp;意大利科莫社会歌剧院联合制作 罗西尼歌剧《萨维利亚理发师》导赏2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上海音乐学院出品 经典歌剧咏叹调之夜音乐会导赏1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上海音乐学院出品 经典歌剧咏叹调之夜音乐会导赏2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上海音乐学院出品 《红色经典民族歌剧音乐会》导赏1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上海音乐学院出品 《红色经典民族歌剧音乐会》导赏2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实践体验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（7场）</w:t>
            </w: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《声乐体验课程》乐理基础课程：普及乐理基础知识，主要包括：节奏、音高、识谱等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《声乐体验课程》声乐作品语言课程指导：针对学习歌曲的语言学习，如意大利语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《声乐体验课程》分声部练习：针对参加的校长进行高、中、低声部区分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《声乐体验课程》发声练习：教授科学的声乐演唱的发声技巧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《声乐体验课程》曲目学习：介绍曲目的相关背景知识、学习曲谱、演唱技巧等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《声乐体验课程》教学实践：根据学员的情况，分声部学习演唱曲目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上海市艺术特色学校或课程观摩与研讨</w:t>
            </w:r>
          </w:p>
        </w:tc>
      </w:tr>
    </w:tbl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ind w:firstLine="590"/>
        <w:jc w:val="center"/>
        <w:textAlignment w:val="auto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(五)美术版块</w:t>
      </w:r>
    </w:p>
    <w:tbl>
      <w:tblPr>
        <w:tblStyle w:val="3"/>
        <w:tblpPr w:leftFromText="180" w:rightFromText="180" w:vertAnchor="text" w:horzAnchor="page" w:tblpXSpec="center" w:tblpY="444"/>
        <w:tblOverlap w:val="never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7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79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课程模块</w:t>
            </w: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名师讲座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（5场）</w:t>
            </w: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“艺术的革新与传承”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“当代油画精神”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“画中的抽象艺术”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“创意的可能性”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“美术教育与公共文化”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精品导赏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（6场）</w:t>
            </w: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宝龙美术馆馆藏展览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瞬间即永恒：孙尧个展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中日韩当代艺术邀请展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李磊绘画作品、装置作品、瓷器作品展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应歆珣装置、影像艺术作品展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日本艺术家KYNE个展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restart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实践体验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（5场）</w:t>
            </w: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《记录｜找回最传统的方式》用书法形式来表达生活日常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《关良|画中有戏》赏析和临摹关良的作品，用水墨来画戏剧人物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《莫奈|光的追随者》赏析临摹莫奈作品，用丙烯技法来表现光影感觉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《Humans in the Museum 校长创作特别篇》互动类装置艺术校长作品展，用共同创作、搭建的方式呈现作品，体验装置艺术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79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430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上海市艺术特色学校或课程观摩与研讨</w:t>
            </w:r>
          </w:p>
        </w:tc>
      </w:tr>
    </w:tbl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ind w:firstLine="590"/>
        <w:jc w:val="center"/>
        <w:textAlignment w:val="auto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（六）舞台剧版块</w:t>
      </w:r>
    </w:p>
    <w:tbl>
      <w:tblPr>
        <w:tblStyle w:val="3"/>
        <w:tblpPr w:leftFromText="180" w:rightFromText="180" w:vertAnchor="text" w:horzAnchor="page" w:tblpXSpec="center" w:tblpY="444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5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课程模块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名师讲座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（6场）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歌剧朝圣进阶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音乐剧的世界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中西方经典戏剧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给过去一个未来——昆曲六百年传承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校园艺术教育管理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儿童舞台剧的挑选和制作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精品导赏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（6场）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从文学巨作到舞台新品——《卡拉马佐夫兄弟》导赏1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音乐剧《卡拉马佐夫兄弟》导赏2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歌剧舞台上的名著——《托斯卡》导赏1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歌剧《托斯卡》导赏2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当民间神话遇上芭蕾艺术——《白蛇》导赏1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舞剧《白蛇》导赏2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实践体验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（6场）</w:t>
            </w: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互动课（一）：处处皆有戏（即兴戏剧工作坊）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互动课（二）：声临其境（发声和台词工作坊）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互动课（三）：声入人心（歌剧音乐剧声乐工作坊）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互动课（四）：身体百态（动作和情绪工作坊）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互动课（五）： 偶遇戏剧（木偶和表演工作坊）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305" w:type="dxa"/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上海市艺术特色学校或课程观摩与研讨</w:t>
            </w:r>
          </w:p>
        </w:tc>
      </w:tr>
    </w:tbl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ind w:firstLine="590"/>
        <w:jc w:val="center"/>
        <w:textAlignment w:val="auto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(七)交响乐版块</w:t>
      </w:r>
    </w:p>
    <w:tbl>
      <w:tblPr>
        <w:tblStyle w:val="3"/>
        <w:tblpPr w:leftFromText="180" w:rightFromText="180" w:vertAnchor="text" w:horzAnchor="page" w:tblpX="1798" w:tblpY="444"/>
        <w:tblOverlap w:val="never"/>
        <w:tblW w:w="9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课程模块</w:t>
            </w: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0"/>
                <w:szCs w:val="30"/>
                <w:lang w:val="en-US" w:bidi="ar-SA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名师讲座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（7场）</w:t>
            </w: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美育到底有啥用？—— 美育的本质功能与社会意义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音乐何需懂—— 音乐艺术的基本审美本质与审美方式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不识五线谱就像不识字——五线谱学习与器乐进课堂的教学设计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怎样培养学生听经典音乐？——学校音乐欣赏课教学策略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你都把我整抑郁了！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——学校情境下的抑郁症成因分析与音乐干预方案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你都把我整抑郁了！——学校情境下的抑郁症成因分析与音乐干预方案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学校音乐课能有啥结果？——国民音乐审美素养结构分析与新课标学校音乐教育实施策略分析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上海市中小学艺术课程优秀教学案例研讨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精品导赏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场）</w:t>
            </w: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经典西洋交响乐作品导赏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经典中国交响乐作品导赏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体态律动达尔科罗兹音乐教学法课程体验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经典钢琴作品导赏——钢琴作品中的交响化思维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协奏曲专场音乐会导赏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实践体验</w:t>
            </w:r>
          </w:p>
          <w:p>
            <w:pPr>
              <w:pStyle w:val="5"/>
              <w:spacing w:before="112" w:line="32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场）</w:t>
            </w: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中国经典作品音乐会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交响乐互动体验课程：弦乐、管乐、打击乐演奏体验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>交响乐互动体验课程：弦乐、管乐、打击乐演奏体验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12" w:line="320" w:lineRule="exact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bidi="ar-SA"/>
              </w:rPr>
              <w:t xml:space="preserve">艺术实践成果展示与专家论坛研讨会   </w:t>
            </w:r>
          </w:p>
        </w:tc>
      </w:tr>
    </w:tbl>
    <w:p>
      <w:pPr>
        <w:pStyle w:val="5"/>
        <w:spacing w:before="112" w:line="320" w:lineRule="exact"/>
        <w:jc w:val="both"/>
        <w:rPr>
          <w:rFonts w:hint="eastAsia" w:ascii="等线" w:hAnsi="等线" w:eastAsia="等线" w:cs="Times New Roman"/>
          <w:kern w:val="2"/>
          <w:lang w:val="en-US" w:bidi="ar-SA"/>
        </w:rPr>
      </w:pPr>
    </w:p>
    <w:p>
      <w:pPr>
        <w:pStyle w:val="5"/>
        <w:spacing w:before="112" w:line="320" w:lineRule="exact"/>
        <w:jc w:val="both"/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bidi="ar-SA"/>
        </w:rPr>
        <w:t>注：1.受疫情影响，七个版块课程内容可能有所调整，以实际安排为准。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bidi="ar-SA"/>
        </w:rPr>
        <w:br w:type="textWrapping"/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bidi="ar-SA"/>
        </w:rPr>
        <w:t xml:space="preserve">    2.因疫情防控需要，部分活动将通过线上开展，具体以实际安排为准。</w:t>
      </w:r>
    </w:p>
    <w:p>
      <w:pPr>
        <w:autoSpaceDE w:val="0"/>
        <w:autoSpaceDN w:val="0"/>
        <w:adjustRightInd w:val="0"/>
        <w:spacing w:line="52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pStyle w:val="2"/>
        <w:spacing w:line="520" w:lineRule="exact"/>
        <w:jc w:val="left"/>
        <w:rPr>
          <w:rFonts w:hint="eastAsia" w:ascii="仿宋" w:hAnsi="仿宋" w:eastAsia="仿宋" w:cs="仿宋"/>
          <w:b w:val="0"/>
          <w:sz w:val="30"/>
          <w:szCs w:val="30"/>
        </w:rPr>
      </w:pPr>
    </w:p>
    <w:p>
      <w:pPr>
        <w:pStyle w:val="2"/>
        <w:spacing w:line="520" w:lineRule="exact"/>
        <w:jc w:val="left"/>
        <w:rPr>
          <w:rFonts w:hint="eastAsia" w:ascii="仿宋" w:hAnsi="仿宋" w:eastAsia="仿宋" w:cs="仿宋"/>
          <w:b w:val="0"/>
          <w:sz w:val="30"/>
          <w:szCs w:val="30"/>
        </w:rPr>
      </w:pPr>
    </w:p>
    <w:p>
      <w:pPr>
        <w:pStyle w:val="2"/>
        <w:spacing w:line="520" w:lineRule="exact"/>
        <w:jc w:val="left"/>
        <w:rPr>
          <w:rFonts w:hint="eastAsia" w:ascii="仿宋" w:hAnsi="仿宋" w:eastAsia="仿宋" w:cs="仿宋"/>
          <w:b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629B5"/>
    <w:rsid w:val="7E26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jc w:val="center"/>
    </w:pPr>
    <w:rPr>
      <w:rFonts w:ascii="仿宋_GB2312" w:hAnsi="Times New Roman" w:eastAsia="仿宋_GB2312" w:cs="Times New Roman"/>
      <w:b/>
      <w:kern w:val="0"/>
      <w:sz w:val="28"/>
      <w:szCs w:val="20"/>
    </w:r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2022-08-28T07:08:00Z</dcterms:created>
  <dc:creator>alexandro1981@126.com</dc:creator>
  <cp:lastModifiedBy>alexandro1981@126.com</cp:lastModifiedBy>
  <dcterms:modified xsi:type="dcterms:W3CDTF">2022-08-28T07:12:07Z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