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heme="minorEastAsia" w:hAnsiTheme="minorEastAsia" w:eastAsiaTheme="minorEastAsia" w:cstheme="minorBidi"/>
          <w:sz w:val="32"/>
          <w:szCs w:val="32"/>
        </w:rPr>
      </w:pPr>
      <w:r>
        <w:rPr>
          <w:rFonts w:hint="eastAsia" w:asciiTheme="minorEastAsia" w:hAnsiTheme="minorEastAsia" w:eastAsiaTheme="minorEastAsia" w:cstheme="minorBidi"/>
          <w:color w:val="000000" w:themeColor="text1"/>
          <w:sz w:val="32"/>
          <w:szCs w:val="32"/>
          <w14:textFill>
            <w14:solidFill>
              <w14:schemeClr w14:val="tx1"/>
            </w14:solidFill>
          </w14:textFill>
        </w:rPr>
        <w:t>上海市中小学图书馆建设与应用评估指标</w:t>
      </w:r>
    </w:p>
    <w:p>
      <w:pPr>
        <w:spacing w:line="560" w:lineRule="exact"/>
        <w:rPr>
          <w:rFonts w:asciiTheme="minorEastAsia" w:hAnsiTheme="minorEastAsia" w:eastAsiaTheme="minorEastAsia" w:cstheme="minorBidi"/>
          <w:sz w:val="24"/>
          <w:szCs w:val="24"/>
        </w:rPr>
      </w:pPr>
    </w:p>
    <w:tbl>
      <w:tblPr>
        <w:tblStyle w:val="6"/>
        <w:tblW w:w="14743" w:type="dxa"/>
        <w:tblInd w:w="-431" w:type="dxa"/>
        <w:tblLayout w:type="autofit"/>
        <w:tblCellMar>
          <w:top w:w="0" w:type="dxa"/>
          <w:left w:w="108" w:type="dxa"/>
          <w:bottom w:w="0" w:type="dxa"/>
          <w:right w:w="108" w:type="dxa"/>
        </w:tblCellMar>
      </w:tblPr>
      <w:tblGrid>
        <w:gridCol w:w="993"/>
        <w:gridCol w:w="1134"/>
        <w:gridCol w:w="1458"/>
        <w:gridCol w:w="823"/>
        <w:gridCol w:w="696"/>
        <w:gridCol w:w="2977"/>
        <w:gridCol w:w="5953"/>
        <w:gridCol w:w="709"/>
      </w:tblGrid>
      <w:tr>
        <w:tblPrEx>
          <w:tblCellMar>
            <w:top w:w="0" w:type="dxa"/>
            <w:left w:w="108" w:type="dxa"/>
            <w:bottom w:w="0" w:type="dxa"/>
            <w:right w:w="108" w:type="dxa"/>
          </w:tblCellMar>
        </w:tblPrEx>
        <w:trPr>
          <w:trHeight w:val="584" w:hRule="atLeast"/>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一级</w:t>
            </w:r>
          </w:p>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指标</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二级</w:t>
            </w:r>
          </w:p>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指标</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三级指标</w:t>
            </w:r>
          </w:p>
        </w:tc>
        <w:tc>
          <w:tcPr>
            <w:tcW w:w="8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基础性指标</w:t>
            </w:r>
          </w:p>
        </w:tc>
        <w:tc>
          <w:tcPr>
            <w:tcW w:w="6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发展性指标</w:t>
            </w:r>
          </w:p>
        </w:tc>
        <w:tc>
          <w:tcPr>
            <w:tcW w:w="29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评估内容</w:t>
            </w:r>
          </w:p>
        </w:tc>
        <w:tc>
          <w:tcPr>
            <w:tcW w:w="59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评分项（*为必得分项）</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评分</w:t>
            </w:r>
          </w:p>
        </w:tc>
      </w:tr>
      <w:tr>
        <w:tblPrEx>
          <w:tblCellMar>
            <w:top w:w="0" w:type="dxa"/>
            <w:left w:w="108" w:type="dxa"/>
            <w:bottom w:w="0" w:type="dxa"/>
            <w:right w:w="108" w:type="dxa"/>
          </w:tblCellMar>
        </w:tblPrEx>
        <w:trPr>
          <w:trHeight w:val="340" w:hRule="atLeast"/>
        </w:trPr>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1馆舍与装备 （30分)</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1.1馆舍建设(20分）</w:t>
            </w:r>
          </w:p>
        </w:tc>
        <w:tc>
          <w:tcPr>
            <w:tcW w:w="1458" w:type="dxa"/>
            <w:vMerge w:val="restart"/>
            <w:tcBorders>
              <w:top w:val="nil"/>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1.1.1馆舍选址（2分）</w:t>
            </w:r>
          </w:p>
        </w:tc>
        <w:tc>
          <w:tcPr>
            <w:tcW w:w="823"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w:t>
            </w:r>
          </w:p>
        </w:tc>
        <w:tc>
          <w:tcPr>
            <w:tcW w:w="696"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p>
        </w:tc>
        <w:tc>
          <w:tcPr>
            <w:tcW w:w="2977" w:type="dxa"/>
            <w:vMerge w:val="restart"/>
            <w:tcBorders>
              <w:top w:val="nil"/>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馆舍专用，环境安静、光照充分、干燥通风，便于文献资源收藏、管理和读者利用</w:t>
            </w: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*馆舍专用，得1分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位置便于读者出入、通风光照较好，得1分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tcBorders>
              <w:top w:val="nil"/>
              <w:left w:val="nil"/>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1.1.2馆舍面积（3分）</w:t>
            </w:r>
          </w:p>
        </w:tc>
        <w:tc>
          <w:tcPr>
            <w:tcW w:w="823"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w:t>
            </w:r>
          </w:p>
        </w:tc>
        <w:tc>
          <w:tcPr>
            <w:tcW w:w="69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p>
        </w:tc>
        <w:tc>
          <w:tcPr>
            <w:tcW w:w="2977"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馆舍面积达到《上海市普通中小学建设标准》（DG/TJ08）要求</w:t>
            </w: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总面积达到标准要求，得3分；面积达到标准要求80%，得2分；面积达到标准要求60-80%，得1分；面积低于标准要求60%，不得分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restart"/>
            <w:tcBorders>
              <w:top w:val="nil"/>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1.1.3基础功能区域（3分）</w:t>
            </w:r>
          </w:p>
        </w:tc>
        <w:tc>
          <w:tcPr>
            <w:tcW w:w="823"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w:t>
            </w:r>
          </w:p>
        </w:tc>
        <w:tc>
          <w:tcPr>
            <w:tcW w:w="696"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p>
        </w:tc>
        <w:tc>
          <w:tcPr>
            <w:tcW w:w="2977" w:type="dxa"/>
            <w:vMerge w:val="restart"/>
            <w:tcBorders>
              <w:top w:val="nil"/>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文献采编、加工、收藏、陈列、检索、流通、阅览、宣传、展示等功能区域设置合理；</w:t>
            </w: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*图书馆馆藏、流通、阅览（含电子阅览）、检索、宣传等基本功能区域齐备，得2分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各功能区域设置合理、实施全开架管理方式，得1分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restart"/>
            <w:tcBorders>
              <w:top w:val="nil"/>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1.1.4拓展功能区域（6分）</w:t>
            </w:r>
          </w:p>
        </w:tc>
        <w:tc>
          <w:tcPr>
            <w:tcW w:w="823"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p>
        </w:tc>
        <w:tc>
          <w:tcPr>
            <w:tcW w:w="696"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6</w:t>
            </w:r>
          </w:p>
        </w:tc>
        <w:tc>
          <w:tcPr>
            <w:tcW w:w="2977" w:type="dxa"/>
            <w:vMerge w:val="restart"/>
            <w:tcBorders>
              <w:top w:val="nil"/>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为读者创设研修、交流、活动等区域；因地制宜在教室、走廊等安全、合适的区域和场所设立纸质书报刊全开架流通点</w:t>
            </w: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有读者研修功能区域，得1分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有读者活动功能区域，得1分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有展示功能区域，得1分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有影音欣赏功能区域，得1分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图书馆外合适区域设置书刊流通点，得1分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图书馆有无障碍设施，得1分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1.1.5阅览座位（2分）</w:t>
            </w:r>
          </w:p>
        </w:tc>
        <w:tc>
          <w:tcPr>
            <w:tcW w:w="8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w:t>
            </w:r>
          </w:p>
        </w:tc>
        <w:tc>
          <w:tcPr>
            <w:tcW w:w="6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阅览座位达到《上海市普通中小学建设标准》（DG/TJ08）要求</w:t>
            </w:r>
          </w:p>
        </w:tc>
        <w:tc>
          <w:tcPr>
            <w:tcW w:w="5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*学生阅览座位能保证一个班开阅读课，得1分</w:t>
            </w:r>
          </w:p>
        </w:tc>
        <w:tc>
          <w:tcPr>
            <w:tcW w:w="709" w:type="dxa"/>
            <w:tcBorders>
              <w:top w:val="single" w:color="auto" w:sz="4" w:space="0"/>
              <w:left w:val="single" w:color="auto" w:sz="4" w:space="0"/>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学生阅览座位达到规定要求，得1分</w:t>
            </w:r>
          </w:p>
        </w:tc>
        <w:tc>
          <w:tcPr>
            <w:tcW w:w="709" w:type="dxa"/>
            <w:tcBorders>
              <w:top w:val="single" w:color="auto" w:sz="4" w:space="0"/>
              <w:left w:val="single" w:color="auto" w:sz="4" w:space="0"/>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1.1.6文化氛围（4分）</w:t>
            </w:r>
          </w:p>
        </w:tc>
        <w:tc>
          <w:tcPr>
            <w:tcW w:w="8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p>
        </w:tc>
        <w:tc>
          <w:tcPr>
            <w:tcW w:w="6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4</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馆内外装饰布置美观、和谐，文化氛围浓厚，符合学生年龄特点</w:t>
            </w:r>
          </w:p>
        </w:tc>
        <w:tc>
          <w:tcPr>
            <w:tcW w:w="5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图书馆环境布置美观、和谐，得1分</w:t>
            </w:r>
          </w:p>
        </w:tc>
        <w:tc>
          <w:tcPr>
            <w:tcW w:w="709" w:type="dxa"/>
            <w:tcBorders>
              <w:top w:val="single" w:color="auto" w:sz="4" w:space="0"/>
              <w:left w:val="single" w:color="auto" w:sz="4" w:space="0"/>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nil"/>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图书馆环境富有文化氛围与学校文化相适宜，得2分</w:t>
            </w:r>
          </w:p>
        </w:tc>
        <w:tc>
          <w:tcPr>
            <w:tcW w:w="709" w:type="dxa"/>
            <w:tcBorders>
              <w:top w:val="nil"/>
              <w:left w:val="single" w:color="auto" w:sz="4" w:space="0"/>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nil"/>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创设符合学生年龄特点的育人环境，得1分</w:t>
            </w:r>
          </w:p>
        </w:tc>
        <w:tc>
          <w:tcPr>
            <w:tcW w:w="709" w:type="dxa"/>
            <w:tcBorders>
              <w:top w:val="nil"/>
              <w:left w:val="single" w:color="auto" w:sz="4" w:space="0"/>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tcBorders>
              <w:top w:val="single" w:color="auto" w:sz="4" w:space="0"/>
              <w:left w:val="single" w:color="auto" w:sz="4" w:space="0"/>
              <w:bottom w:val="nil"/>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1.2设施设备（10分）</w:t>
            </w:r>
          </w:p>
        </w:tc>
        <w:tc>
          <w:tcPr>
            <w:tcW w:w="14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1.2.1基础设施（3分）</w:t>
            </w:r>
          </w:p>
        </w:tc>
        <w:tc>
          <w:tcPr>
            <w:tcW w:w="8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w:t>
            </w:r>
          </w:p>
        </w:tc>
        <w:tc>
          <w:tcPr>
            <w:tcW w:w="6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照明、强电、弱电、通风、采光、温度调节和安全等设施符合《上海市普通中小学图书馆规程》要求</w:t>
            </w:r>
          </w:p>
        </w:tc>
        <w:tc>
          <w:tcPr>
            <w:tcW w:w="5953" w:type="dxa"/>
            <w:tcBorders>
              <w:top w:val="single" w:color="auto" w:sz="4" w:space="0"/>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图书馆照明符合要求，得1分</w:t>
            </w:r>
          </w:p>
        </w:tc>
        <w:tc>
          <w:tcPr>
            <w:tcW w:w="709" w:type="dxa"/>
            <w:tcBorders>
              <w:top w:val="single" w:color="auto" w:sz="4" w:space="0"/>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tcBorders>
              <w:top w:val="nil"/>
              <w:left w:val="single" w:color="auto" w:sz="4" w:space="0"/>
              <w:bottom w:val="nil"/>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强电、弱电、通风、采光、温度调节温控设施符合要求，得1分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tcBorders>
              <w:top w:val="nil"/>
              <w:left w:val="single" w:color="auto" w:sz="4" w:space="0"/>
              <w:bottom w:val="nil"/>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有防火、防潮、防虫和防鼠等文献保护措施，得1分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tcBorders>
              <w:top w:val="nil"/>
              <w:left w:val="single" w:color="auto" w:sz="4" w:space="0"/>
              <w:bottom w:val="nil"/>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restart"/>
            <w:tcBorders>
              <w:top w:val="nil"/>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1.2.2基本设备（3分）</w:t>
            </w:r>
          </w:p>
        </w:tc>
        <w:tc>
          <w:tcPr>
            <w:tcW w:w="823"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w:t>
            </w:r>
          </w:p>
        </w:tc>
        <w:tc>
          <w:tcPr>
            <w:tcW w:w="696"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p>
        </w:tc>
        <w:tc>
          <w:tcPr>
            <w:tcW w:w="2977" w:type="dxa"/>
            <w:vMerge w:val="restart"/>
            <w:tcBorders>
              <w:top w:val="nil"/>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书报刊陈列橱、柜、架，阅览桌椅、办公桌椅、借阅台、装订等设备能满足图书馆各项业务活动的开展及环保要求</w:t>
            </w: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书架、书柜、书橱、报刊架、阅览桌椅等书报刊储藏阅览设备齐全，家具符合学生年龄特点，得1分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tcBorders>
              <w:top w:val="nil"/>
              <w:left w:val="single" w:color="auto" w:sz="4" w:space="0"/>
              <w:bottom w:val="nil"/>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具备办公桌椅、借阅台、装订等图书加工、流通设备，得1分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tcBorders>
              <w:top w:val="nil"/>
              <w:left w:val="single" w:color="auto" w:sz="4" w:space="0"/>
              <w:bottom w:val="nil"/>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具备展示板、展示台、休闲家具、视听桌椅等拓展服务相关设备，得1分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tcBorders>
              <w:top w:val="nil"/>
              <w:left w:val="single" w:color="auto" w:sz="4" w:space="0"/>
              <w:bottom w:val="nil"/>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restart"/>
            <w:tcBorders>
              <w:top w:val="nil"/>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1.2.3信息化设施设备（4分）</w:t>
            </w:r>
          </w:p>
        </w:tc>
        <w:tc>
          <w:tcPr>
            <w:tcW w:w="823"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4</w:t>
            </w:r>
          </w:p>
        </w:tc>
        <w:tc>
          <w:tcPr>
            <w:tcW w:w="696"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p>
        </w:tc>
        <w:tc>
          <w:tcPr>
            <w:tcW w:w="2977" w:type="dxa"/>
            <w:vMerge w:val="restart"/>
            <w:tcBorders>
              <w:top w:val="nil"/>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室内无线网络覆盖，能满足各种数字终端接入，保证并发访问速度；配备管理用计算机、服务器、读卡器、条码阅读器、图书采集器、数字阅览终端、多媒体等设备，能够满足图书馆资源管理和利用要求</w:t>
            </w: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*图书馆无线网络全覆盖，得1分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tcBorders>
              <w:top w:val="nil"/>
              <w:left w:val="single" w:color="auto" w:sz="4" w:space="0"/>
              <w:bottom w:val="nil"/>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具备管理用计算机、服务器、读卡器、条码阅读器信息化管理设备，得1分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tcBorders>
              <w:top w:val="nil"/>
              <w:left w:val="single" w:color="auto" w:sz="4" w:space="0"/>
              <w:bottom w:val="nil"/>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具备学生数字阅览设备，得1分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tcBorders>
              <w:top w:val="nil"/>
              <w:left w:val="single" w:color="auto" w:sz="4" w:space="0"/>
              <w:bottom w:val="nil"/>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具备多媒体、信息搜索等读者服务设备，得1分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2文献资源    （25分）</w:t>
            </w:r>
          </w:p>
        </w:tc>
        <w:tc>
          <w:tcPr>
            <w:tcW w:w="1134" w:type="dxa"/>
            <w:vMerge w:val="restart"/>
            <w:tcBorders>
              <w:top w:val="nil"/>
              <w:left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2.1纸质资源（8分）</w:t>
            </w:r>
          </w:p>
        </w:tc>
        <w:tc>
          <w:tcPr>
            <w:tcW w:w="1458" w:type="dxa"/>
            <w:vMerge w:val="restart"/>
            <w:tcBorders>
              <w:top w:val="nil"/>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2.1.1馆藏数量（3分）</w:t>
            </w:r>
          </w:p>
        </w:tc>
        <w:tc>
          <w:tcPr>
            <w:tcW w:w="823"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w:t>
            </w:r>
          </w:p>
        </w:tc>
        <w:tc>
          <w:tcPr>
            <w:tcW w:w="696"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p>
        </w:tc>
        <w:tc>
          <w:tcPr>
            <w:tcW w:w="2977" w:type="dxa"/>
            <w:vMerge w:val="restart"/>
            <w:tcBorders>
              <w:top w:val="nil"/>
              <w:left w:val="single" w:color="auto" w:sz="4" w:space="0"/>
              <w:bottom w:val="single" w:color="000000"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生均纸质图书和馆藏纸质报刊等配置达到《上海市普通中小学图书馆规程》的有关要求 </w:t>
            </w:r>
            <w:r>
              <w:rPr>
                <w:rFonts w:asciiTheme="minorEastAsia" w:hAnsiTheme="minorEastAsia" w:eastAsiaTheme="minorEastAsia" w:cstheme="minorBidi"/>
                <w:sz w:val="18"/>
                <w:szCs w:val="18"/>
              </w:rPr>
              <w:t xml:space="preserve"> </w:t>
            </w:r>
            <w:r>
              <w:rPr>
                <w:rFonts w:hint="eastAsia" w:asciiTheme="minorEastAsia" w:hAnsiTheme="minorEastAsia" w:eastAsiaTheme="minorEastAsia" w:cstheme="minorBidi"/>
                <w:sz w:val="18"/>
                <w:szCs w:val="18"/>
              </w:rPr>
              <w:t xml:space="preserve">生均册数：45/完中；50/高中；40/初中;30/小学 </w:t>
            </w:r>
            <w:r>
              <w:rPr>
                <w:rFonts w:asciiTheme="minorEastAsia" w:hAnsiTheme="minorEastAsia" w:eastAsiaTheme="minorEastAsia" w:cstheme="minorBidi"/>
                <w:sz w:val="18"/>
                <w:szCs w:val="18"/>
              </w:rPr>
              <w:t xml:space="preserve"> </w:t>
            </w:r>
            <w:r>
              <w:rPr>
                <w:rFonts w:hint="eastAsia" w:asciiTheme="minorEastAsia" w:hAnsiTheme="minorEastAsia" w:eastAsiaTheme="minorEastAsia" w:cstheme="minorBidi"/>
                <w:sz w:val="18"/>
                <w:szCs w:val="18"/>
              </w:rPr>
              <w:t>报刊种类：180/完中；200/高中；160/初中;100/小学</w:t>
            </w: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*生均纸质图书达到规定要求，得1.5 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left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p>
        </w:tc>
        <w:tc>
          <w:tcPr>
            <w:tcW w:w="1458"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nil"/>
              <w:left w:val="single" w:color="auto" w:sz="4" w:space="0"/>
              <w:bottom w:val="single" w:color="000000"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图书馆年生均新增纸质图书不少于1册，得0.5分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left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p>
        </w:tc>
        <w:tc>
          <w:tcPr>
            <w:tcW w:w="1458"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nil"/>
              <w:left w:val="single" w:color="auto" w:sz="4" w:space="0"/>
              <w:bottom w:val="single" w:color="000000"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订阅报刊种数达到规定要求，得0.5分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left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p>
        </w:tc>
        <w:tc>
          <w:tcPr>
            <w:tcW w:w="1458"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nil"/>
              <w:left w:val="single" w:color="auto" w:sz="4" w:space="0"/>
              <w:bottom w:val="single" w:color="000000"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订阅报刊以学生用刊为主、以纸质报刊为主，得0.5分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left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p>
        </w:tc>
        <w:tc>
          <w:tcPr>
            <w:tcW w:w="1458" w:type="dxa"/>
            <w:vMerge w:val="restart"/>
            <w:tcBorders>
              <w:top w:val="nil"/>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2.1.2馆藏质量（3分）</w:t>
            </w:r>
          </w:p>
        </w:tc>
        <w:tc>
          <w:tcPr>
            <w:tcW w:w="823"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w:t>
            </w:r>
          </w:p>
        </w:tc>
        <w:tc>
          <w:tcPr>
            <w:tcW w:w="696"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p>
        </w:tc>
        <w:tc>
          <w:tcPr>
            <w:tcW w:w="2977" w:type="dxa"/>
            <w:vMerge w:val="restart"/>
            <w:tcBorders>
              <w:top w:val="nil"/>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馆藏质量有保证，结构合理，注重按学校办学特色配置，复本量合适。可参照《中小学图书馆（室）藏书分类比例表》</w:t>
            </w: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馆藏资源中不存在“中小学图书馆图书审查清理标准”中规定的非法、不适宜和无保存价值的图书，得1分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left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p>
        </w:tc>
        <w:tc>
          <w:tcPr>
            <w:tcW w:w="1458"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藏书的学科、载体、语种、时间结构合理，得1分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left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p>
        </w:tc>
        <w:tc>
          <w:tcPr>
            <w:tcW w:w="1458"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hint="eastAsia"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藏书内容能体现学校特色，得</w:t>
            </w:r>
            <w:r>
              <w:rPr>
                <w:rFonts w:asciiTheme="minorEastAsia" w:hAnsiTheme="minorEastAsia" w:eastAsiaTheme="minorEastAsia" w:cstheme="minorBidi"/>
                <w:sz w:val="18"/>
                <w:szCs w:val="18"/>
              </w:rPr>
              <w:t>0.5</w:t>
            </w:r>
            <w:r>
              <w:rPr>
                <w:rFonts w:hint="eastAsia" w:asciiTheme="minorEastAsia" w:hAnsiTheme="minorEastAsia" w:eastAsiaTheme="minorEastAsia" w:cstheme="minorBidi"/>
                <w:sz w:val="18"/>
                <w:szCs w:val="18"/>
              </w:rPr>
              <w:t xml:space="preserve"> 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left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p>
        </w:tc>
        <w:tc>
          <w:tcPr>
            <w:tcW w:w="1458"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平均复本量（馆藏纸质图书总册数/总种数）中学馆低于3册、小学馆低于5册，得</w:t>
            </w:r>
            <w:r>
              <w:rPr>
                <w:rFonts w:asciiTheme="minorEastAsia" w:hAnsiTheme="minorEastAsia" w:eastAsiaTheme="minorEastAsia" w:cstheme="minorBidi"/>
                <w:sz w:val="18"/>
                <w:szCs w:val="18"/>
              </w:rPr>
              <w:t>0.5</w:t>
            </w:r>
            <w:r>
              <w:rPr>
                <w:rFonts w:hint="eastAsia" w:asciiTheme="minorEastAsia" w:hAnsiTheme="minorEastAsia" w:eastAsiaTheme="minorEastAsia" w:cstheme="minorBidi"/>
                <w:sz w:val="18"/>
                <w:szCs w:val="18"/>
              </w:rPr>
              <w:t>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left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p>
        </w:tc>
        <w:tc>
          <w:tcPr>
            <w:tcW w:w="14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2.1.3文献采购（2分）</w:t>
            </w:r>
          </w:p>
        </w:tc>
        <w:tc>
          <w:tcPr>
            <w:tcW w:w="8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w:t>
            </w:r>
          </w:p>
        </w:tc>
        <w:tc>
          <w:tcPr>
            <w:tcW w:w="6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采购流程规范，符合国家有关出版及知识产权保护等相关规定；优先采购上海市教委公布的《中小学、幼儿园图书馆（室）图书配置推荐目录》</w:t>
            </w:r>
          </w:p>
        </w:tc>
        <w:tc>
          <w:tcPr>
            <w:tcW w:w="5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*文献采购有计划和规范流程，并符合国家出版及知识产权保护等相关规定，得1分</w:t>
            </w:r>
          </w:p>
        </w:tc>
        <w:tc>
          <w:tcPr>
            <w:tcW w:w="709" w:type="dxa"/>
            <w:tcBorders>
              <w:top w:val="single" w:color="auto" w:sz="4" w:space="0"/>
              <w:left w:val="single" w:color="auto" w:sz="4" w:space="0"/>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left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p>
        </w:tc>
        <w:tc>
          <w:tcPr>
            <w:tcW w:w="145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采购文献能征询师生建议，优先采购教育部、市教委推荐书目，得0.5分</w:t>
            </w:r>
          </w:p>
        </w:tc>
        <w:tc>
          <w:tcPr>
            <w:tcW w:w="709" w:type="dxa"/>
            <w:tcBorders>
              <w:top w:val="single" w:color="auto" w:sz="4" w:space="0"/>
              <w:left w:val="single" w:color="auto" w:sz="4" w:space="0"/>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p>
        </w:tc>
        <w:tc>
          <w:tcPr>
            <w:tcW w:w="145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注重经典读物、科学普及、教育教学理论、学校文化与特色等文献的采购，得0.5分</w:t>
            </w:r>
          </w:p>
        </w:tc>
        <w:tc>
          <w:tcPr>
            <w:tcW w:w="709" w:type="dxa"/>
            <w:tcBorders>
              <w:top w:val="single" w:color="auto" w:sz="4" w:space="0"/>
              <w:left w:val="single" w:color="auto" w:sz="4" w:space="0"/>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2.2数字资源(5分）</w:t>
            </w:r>
          </w:p>
        </w:tc>
        <w:tc>
          <w:tcPr>
            <w:tcW w:w="14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2.2.1数字资源组织（3分）</w:t>
            </w:r>
          </w:p>
        </w:tc>
        <w:tc>
          <w:tcPr>
            <w:tcW w:w="8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p>
        </w:tc>
        <w:tc>
          <w:tcPr>
            <w:tcW w:w="6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建设具有学校特色的数字资源；提供免费公共或区域共享数字资源的推广与服务（链接与导航）   </w:t>
            </w:r>
          </w:p>
        </w:tc>
        <w:tc>
          <w:tcPr>
            <w:tcW w:w="5953" w:type="dxa"/>
            <w:tcBorders>
              <w:top w:val="single" w:color="auto" w:sz="4" w:space="0"/>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图书馆建设有学校特色数字资源（指学校拥有的数字图书、数字报刊、数字音视频、校本数字文献等），得1分</w:t>
            </w:r>
          </w:p>
        </w:tc>
        <w:tc>
          <w:tcPr>
            <w:tcW w:w="709" w:type="dxa"/>
            <w:tcBorders>
              <w:top w:val="single" w:color="auto" w:sz="4" w:space="0"/>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提供公共和区域共享资源链接或检索的导航，得1分</w:t>
            </w:r>
            <w:r>
              <w:rPr>
                <w:rFonts w:cs="Calibri" w:asciiTheme="minorEastAsia" w:hAnsiTheme="minorEastAsia" w:eastAsiaTheme="minorEastAsia"/>
                <w:sz w:val="18"/>
                <w:szCs w:val="18"/>
              </w:rPr>
              <w:t> </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提供方式便于资源利用，得1分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restart"/>
            <w:tcBorders>
              <w:top w:val="nil"/>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2.2.2图书馆网页（2分）</w:t>
            </w:r>
          </w:p>
        </w:tc>
        <w:tc>
          <w:tcPr>
            <w:tcW w:w="823"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w:t>
            </w:r>
          </w:p>
        </w:tc>
        <w:tc>
          <w:tcPr>
            <w:tcW w:w="696"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p>
        </w:tc>
        <w:tc>
          <w:tcPr>
            <w:tcW w:w="2977" w:type="dxa"/>
            <w:vMerge w:val="restart"/>
            <w:tcBorders>
              <w:top w:val="nil"/>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设立图书馆网页，提供图书馆信息发布、书目和借阅状况查询、参考咨询等服务</w:t>
            </w: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建有图书馆网页，得1分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图书馆网页提供信息发布、书目和借阅状况查询、参考咨询、网页检索导航等服务，得1分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2.3校本文献（2分）</w:t>
            </w:r>
          </w:p>
        </w:tc>
        <w:tc>
          <w:tcPr>
            <w:tcW w:w="1458" w:type="dxa"/>
            <w:vMerge w:val="restart"/>
            <w:tcBorders>
              <w:top w:val="nil"/>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2.3.1校本文献建设（2分）</w:t>
            </w:r>
          </w:p>
        </w:tc>
        <w:tc>
          <w:tcPr>
            <w:tcW w:w="823"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p>
        </w:tc>
        <w:tc>
          <w:tcPr>
            <w:tcW w:w="696"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w:t>
            </w:r>
          </w:p>
        </w:tc>
        <w:tc>
          <w:tcPr>
            <w:tcW w:w="2977" w:type="dxa"/>
            <w:vMerge w:val="restart"/>
            <w:tcBorders>
              <w:top w:val="nil"/>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收集、整理、开发在教育教学活动中形成的各类形式、内容和载体的校本资源,为读者提供利用服务</w:t>
            </w: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图书馆收藏本校的校本课程资料、教师教科研成果、课件等，得1分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收藏本校学生学习成果等，得1分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2.4文献管</w:t>
            </w:r>
            <w:r>
              <w:rPr>
                <w:rFonts w:hint="eastAsia" w:asciiTheme="minorEastAsia" w:hAnsiTheme="minorEastAsia" w:eastAsiaTheme="minorEastAsia" w:cstheme="minorBidi"/>
                <w:spacing w:val="-6"/>
                <w:sz w:val="18"/>
                <w:szCs w:val="18"/>
              </w:rPr>
              <w:t>理（1</w:t>
            </w:r>
            <w:r>
              <w:rPr>
                <w:rFonts w:asciiTheme="minorEastAsia" w:hAnsiTheme="minorEastAsia" w:eastAsiaTheme="minorEastAsia" w:cstheme="minorBidi"/>
                <w:spacing w:val="-6"/>
                <w:sz w:val="18"/>
                <w:szCs w:val="18"/>
              </w:rPr>
              <w:t>0</w:t>
            </w:r>
            <w:r>
              <w:rPr>
                <w:rFonts w:hint="eastAsia" w:asciiTheme="minorEastAsia" w:hAnsiTheme="minorEastAsia" w:eastAsiaTheme="minorEastAsia" w:cstheme="minorBidi"/>
                <w:spacing w:val="-6"/>
                <w:sz w:val="18"/>
                <w:szCs w:val="18"/>
              </w:rPr>
              <w:t>分）</w:t>
            </w:r>
          </w:p>
        </w:tc>
        <w:tc>
          <w:tcPr>
            <w:tcW w:w="1458" w:type="dxa"/>
            <w:vMerge w:val="restart"/>
            <w:tcBorders>
              <w:top w:val="nil"/>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2.4.1资源组织(4分）</w:t>
            </w:r>
          </w:p>
        </w:tc>
        <w:tc>
          <w:tcPr>
            <w:tcW w:w="823"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4</w:t>
            </w:r>
          </w:p>
        </w:tc>
        <w:tc>
          <w:tcPr>
            <w:tcW w:w="696"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p>
        </w:tc>
        <w:tc>
          <w:tcPr>
            <w:tcW w:w="2977" w:type="dxa"/>
            <w:vMerge w:val="restart"/>
            <w:tcBorders>
              <w:top w:val="nil"/>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及时验收、登记新到馆图书；按照《中国图书馆分类法》、《文献著录总则》等国家有关标准对各类文献进行分类、著录和加工；上架及时，排架规范</w:t>
            </w: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*文献入馆及时进行验收与登记，得1分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依据有关标准和规范对馆藏文献进行分类、著录，得1分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图书、报刊及时上架且排架有序，得1分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图书馆架位标识明晰，得1分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restart"/>
            <w:tcBorders>
              <w:top w:val="nil"/>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2.4.2信息化管理（2分）</w:t>
            </w:r>
          </w:p>
        </w:tc>
        <w:tc>
          <w:tcPr>
            <w:tcW w:w="823"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w:t>
            </w:r>
          </w:p>
        </w:tc>
        <w:tc>
          <w:tcPr>
            <w:tcW w:w="696"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p>
        </w:tc>
        <w:tc>
          <w:tcPr>
            <w:tcW w:w="2977" w:type="dxa"/>
            <w:vMerge w:val="restart"/>
            <w:tcBorders>
              <w:top w:val="nil"/>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文献资料实行计算机管理；定期开展馆藏文献资源状况和师生利用状况分析</w:t>
            </w: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*对文献实行计算机管理，得1分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对读者借阅情况有数据统计，得1分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restart"/>
            <w:tcBorders>
              <w:top w:val="nil"/>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2.4.3文献保护（2分）</w:t>
            </w:r>
          </w:p>
        </w:tc>
        <w:tc>
          <w:tcPr>
            <w:tcW w:w="823"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w:t>
            </w:r>
          </w:p>
        </w:tc>
        <w:tc>
          <w:tcPr>
            <w:tcW w:w="696"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p>
        </w:tc>
        <w:tc>
          <w:tcPr>
            <w:tcW w:w="2977" w:type="dxa"/>
            <w:vMerge w:val="restart"/>
            <w:tcBorders>
              <w:top w:val="nil"/>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保洁、修补、修复、复制、备份等工作及时；采用适当技术和措施，做好文献资料的防火、防盗、防尘、防潮、防霉、防虫</w:t>
            </w: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有数据备份制度并及时对文献资源数据等进行备份，得1分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pacing w:val="-6"/>
                <w:sz w:val="18"/>
                <w:szCs w:val="18"/>
              </w:rPr>
            </w:pPr>
            <w:r>
              <w:rPr>
                <w:rFonts w:hint="eastAsia" w:asciiTheme="minorEastAsia" w:hAnsiTheme="minorEastAsia" w:eastAsiaTheme="minorEastAsia" w:cstheme="minorBidi"/>
                <w:spacing w:val="-6"/>
                <w:sz w:val="18"/>
                <w:szCs w:val="18"/>
              </w:rPr>
              <w:t>对文献采取了防火、防盗、防尘、防潮、防霉、防虫、修复等工作，得1分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restart"/>
            <w:tcBorders>
              <w:top w:val="nil"/>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2.4.4文献剔旧（2分）</w:t>
            </w:r>
          </w:p>
        </w:tc>
        <w:tc>
          <w:tcPr>
            <w:tcW w:w="823"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w:t>
            </w:r>
          </w:p>
        </w:tc>
        <w:tc>
          <w:tcPr>
            <w:tcW w:w="696"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p>
        </w:tc>
        <w:tc>
          <w:tcPr>
            <w:tcW w:w="2977" w:type="dxa"/>
            <w:vMerge w:val="restart"/>
            <w:tcBorders>
              <w:top w:val="nil"/>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除具有独特的不可替代的历史保存价值的文献资料，纸质报纸和期刊馆藏期限一般为2年，纸质图书年剔旧不低于总量的2%</w:t>
            </w: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根据文献剔旧原则定期进行书刊剔旧工作，做到账、册相符，得1分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有规范的剔旧程序及完整的剔旧文档，得1分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3服务与利用（35分）</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3.1读者服务（10分）</w:t>
            </w:r>
          </w:p>
        </w:tc>
        <w:tc>
          <w:tcPr>
            <w:tcW w:w="14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3.1.1读者开放（3分）</w:t>
            </w:r>
          </w:p>
        </w:tc>
        <w:tc>
          <w:tcPr>
            <w:tcW w:w="8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w:t>
            </w:r>
          </w:p>
        </w:tc>
        <w:tc>
          <w:tcPr>
            <w:tcW w:w="6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每周实际开放时间不低于40小时，课间、午休和下午课后等时间为所有师生提供外借和利用服务；寒暑假以及寄宿制学校图书馆晚间安排一定时间为师生提供借阅利用服务，向师生发放图书馆借阅证</w:t>
            </w:r>
            <w:r>
              <w:rPr>
                <w:rFonts w:cs="Arial" w:asciiTheme="minorEastAsia" w:hAnsiTheme="minorEastAsia" w:eastAsiaTheme="minorEastAsia"/>
                <w:sz w:val="18"/>
                <w:szCs w:val="18"/>
              </w:rPr>
              <w:t> </w:t>
            </w:r>
          </w:p>
        </w:tc>
        <w:tc>
          <w:tcPr>
            <w:tcW w:w="5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*图书馆周开放时间不少于40小时，得1.5分</w:t>
            </w:r>
          </w:p>
        </w:tc>
        <w:tc>
          <w:tcPr>
            <w:tcW w:w="709" w:type="dxa"/>
            <w:tcBorders>
              <w:top w:val="single" w:color="auto" w:sz="4" w:space="0"/>
              <w:left w:val="single" w:color="auto" w:sz="4" w:space="0"/>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寒暑假（寄宿制学校晚间）为师生开放一定时间，得0.5分</w:t>
            </w:r>
            <w:r>
              <w:rPr>
                <w:rFonts w:cs="Arial" w:asciiTheme="minorEastAsia" w:hAnsiTheme="minorEastAsia" w:eastAsiaTheme="minorEastAsia"/>
                <w:sz w:val="18"/>
                <w:szCs w:val="18"/>
              </w:rPr>
              <w:t> </w:t>
            </w:r>
          </w:p>
        </w:tc>
        <w:tc>
          <w:tcPr>
            <w:tcW w:w="709" w:type="dxa"/>
            <w:tcBorders>
              <w:top w:val="single" w:color="auto" w:sz="4" w:space="0"/>
              <w:left w:val="single" w:color="auto" w:sz="4" w:space="0"/>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师生借阅证发放率100%，得1分</w:t>
            </w:r>
          </w:p>
        </w:tc>
        <w:tc>
          <w:tcPr>
            <w:tcW w:w="709" w:type="dxa"/>
            <w:tcBorders>
              <w:top w:val="single" w:color="auto" w:sz="4" w:space="0"/>
              <w:left w:val="single" w:color="auto" w:sz="4" w:space="0"/>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3.1.2宣传推荐（2分）</w:t>
            </w:r>
          </w:p>
        </w:tc>
        <w:tc>
          <w:tcPr>
            <w:tcW w:w="8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w:t>
            </w:r>
          </w:p>
        </w:tc>
        <w:tc>
          <w:tcPr>
            <w:tcW w:w="6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及时向师生介绍新近添置的文献资源；定期择优推荐有关书刊、文章、篇目；编制或参与编制学生的基本阅读书目和学科参考书目</w:t>
            </w:r>
          </w:p>
        </w:tc>
        <w:tc>
          <w:tcPr>
            <w:tcW w:w="5953" w:type="dxa"/>
            <w:tcBorders>
              <w:top w:val="single" w:color="auto" w:sz="4" w:space="0"/>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编制新进文献书目通报每学期达到2次或以上，得0.5分</w:t>
            </w:r>
          </w:p>
        </w:tc>
        <w:tc>
          <w:tcPr>
            <w:tcW w:w="709" w:type="dxa"/>
            <w:tcBorders>
              <w:top w:val="single" w:color="auto" w:sz="4" w:space="0"/>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择优推荐有关文献、书刊、文章、篇目等分别达到每学期2次或以上，得0.5分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编制学生推荐阅读书目和学科参考书目，得0.5分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通过互联网、移动终端、新媒体等提供宣传推荐服务，得0.5分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restart"/>
            <w:tcBorders>
              <w:top w:val="nil"/>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3.1.3服务学生学习（2分）</w:t>
            </w:r>
          </w:p>
        </w:tc>
        <w:tc>
          <w:tcPr>
            <w:tcW w:w="823"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w:t>
            </w:r>
          </w:p>
        </w:tc>
        <w:tc>
          <w:tcPr>
            <w:tcW w:w="696"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p>
        </w:tc>
        <w:tc>
          <w:tcPr>
            <w:tcW w:w="2977" w:type="dxa"/>
            <w:vMerge w:val="restart"/>
            <w:tcBorders>
              <w:top w:val="nil"/>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 xml:space="preserve">为学生编制和提供索引、目录、推荐导读等多种形式的二次文献服务，对学生利用图书馆资源提供咨询和指导 </w:t>
            </w: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每学期编制专题书目、索引等二次文献2期或以上，得0.5分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二次文献条目著录完整、出处详尽、组织有序，得0.5分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对学生提供资源利用方面的咨询和指导，得1分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restart"/>
            <w:tcBorders>
              <w:top w:val="nil"/>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3.1.4服务教师教研（3分）</w:t>
            </w:r>
          </w:p>
        </w:tc>
        <w:tc>
          <w:tcPr>
            <w:tcW w:w="823"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w:t>
            </w:r>
          </w:p>
        </w:tc>
        <w:tc>
          <w:tcPr>
            <w:tcW w:w="696"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p>
        </w:tc>
        <w:tc>
          <w:tcPr>
            <w:tcW w:w="2977" w:type="dxa"/>
            <w:vMerge w:val="restart"/>
            <w:tcBorders>
              <w:top w:val="nil"/>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为教师整合与提供教育教学、教研科研活动相应的文献支持；营造与提供教科研活动的环境；编制与提供与需求相适应的参考书目信息、与教育资源等相应的文献信息服务</w:t>
            </w: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为教师提供专题教育资源服务，得1分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为教师教研活动、学生主题活动提供场地和设施支持，得1分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为教师提供参考书目信息，得0.5分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提供的书目信息著录完整、出处详尽、组织有序，得0.5分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3.2资源利用（7分）</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3.2.1纸质文献利用（3分）</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图书馆纸质文献年生均借阅量（册/件）</w:t>
            </w:r>
          </w:p>
        </w:tc>
        <w:tc>
          <w:tcPr>
            <w:tcW w:w="5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年生均借阅量（册/件）10册以上，得3分；6册-10册，得2分；5册及以下，得1分</w:t>
            </w:r>
          </w:p>
        </w:tc>
        <w:tc>
          <w:tcPr>
            <w:tcW w:w="709" w:type="dxa"/>
            <w:tcBorders>
              <w:top w:val="single" w:color="auto" w:sz="4" w:space="0"/>
              <w:left w:val="single" w:color="auto" w:sz="4" w:space="0"/>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3.2.2数字资源利用（2分）</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图书馆数字资源（含电子图书、电子期刊等）年人均访问、下载次数</w:t>
            </w:r>
          </w:p>
        </w:tc>
        <w:tc>
          <w:tcPr>
            <w:tcW w:w="5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图书馆数字资源年访问次数和下载次数人均5次或以上，得2分；低于人均5次，得1分；没有提供利用，不得分</w:t>
            </w:r>
          </w:p>
        </w:tc>
        <w:tc>
          <w:tcPr>
            <w:tcW w:w="709" w:type="dxa"/>
            <w:tcBorders>
              <w:top w:val="single" w:color="auto" w:sz="4" w:space="0"/>
              <w:left w:val="single" w:color="auto" w:sz="4" w:space="0"/>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3.2.3服务总量（2分）</w:t>
            </w:r>
          </w:p>
        </w:tc>
        <w:tc>
          <w:tcPr>
            <w:tcW w:w="8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w:t>
            </w:r>
          </w:p>
        </w:tc>
        <w:tc>
          <w:tcPr>
            <w:tcW w:w="6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年到馆服务总人次（年借阅文献、咨询问题以及参加各类读者活动等总人次）、年读者到馆率（年到馆读者人数与校师生总人数之比）</w:t>
            </w:r>
          </w:p>
        </w:tc>
        <w:tc>
          <w:tcPr>
            <w:tcW w:w="5953" w:type="dxa"/>
            <w:tcBorders>
              <w:top w:val="single" w:color="auto" w:sz="4" w:space="0"/>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读者年到馆人均次数15次或以上，得1分；10-14次，得0.5分；低于10次，不得分</w:t>
            </w:r>
          </w:p>
        </w:tc>
        <w:tc>
          <w:tcPr>
            <w:tcW w:w="709" w:type="dxa"/>
            <w:tcBorders>
              <w:top w:val="single" w:color="auto" w:sz="4" w:space="0"/>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年读者到馆率80%以上，得1分；70-80%，得0.5分；低于70%，不得分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3.3图书馆教育（4）</w:t>
            </w:r>
          </w:p>
        </w:tc>
        <w:tc>
          <w:tcPr>
            <w:tcW w:w="14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3.3.1文献利用教育（2分）</w:t>
            </w:r>
          </w:p>
        </w:tc>
        <w:tc>
          <w:tcPr>
            <w:tcW w:w="8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w:t>
            </w:r>
          </w:p>
        </w:tc>
        <w:tc>
          <w:tcPr>
            <w:tcW w:w="6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对新入校的学生开设了解图书馆、学会使用图书馆的辅导，信息素养类活动；各项活动均应有内容、计划、教案或课件等。</w:t>
            </w:r>
          </w:p>
        </w:tc>
        <w:tc>
          <w:tcPr>
            <w:tcW w:w="5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*图书馆对新生开展入馆教育，得1分</w:t>
            </w:r>
          </w:p>
        </w:tc>
        <w:tc>
          <w:tcPr>
            <w:tcW w:w="709" w:type="dxa"/>
            <w:tcBorders>
              <w:top w:val="single" w:color="auto" w:sz="4" w:space="0"/>
              <w:left w:val="single" w:color="auto" w:sz="4" w:space="0"/>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对学生开展信息素养教育，得1分</w:t>
            </w:r>
          </w:p>
        </w:tc>
        <w:tc>
          <w:tcPr>
            <w:tcW w:w="709" w:type="dxa"/>
            <w:tcBorders>
              <w:top w:val="single" w:color="auto" w:sz="4" w:space="0"/>
              <w:left w:val="single" w:color="auto" w:sz="4" w:space="0"/>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3.3.2阅读辅导（2分）</w:t>
            </w:r>
          </w:p>
        </w:tc>
        <w:tc>
          <w:tcPr>
            <w:tcW w:w="823"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p>
        </w:tc>
        <w:tc>
          <w:tcPr>
            <w:tcW w:w="696"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w:t>
            </w:r>
          </w:p>
        </w:tc>
        <w:tc>
          <w:tcPr>
            <w:tcW w:w="2977" w:type="dxa"/>
            <w:tcBorders>
              <w:top w:val="single" w:color="auto" w:sz="4" w:space="0"/>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组织开展提升学生阅读能力的阅读辅导</w:t>
            </w:r>
          </w:p>
        </w:tc>
        <w:tc>
          <w:tcPr>
            <w:tcW w:w="5953" w:type="dxa"/>
            <w:tcBorders>
              <w:top w:val="single" w:color="auto" w:sz="4" w:space="0"/>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图书馆为学生组织（包含读书内容和读书方法指导）阅读辅导或专题讲座，得2分</w:t>
            </w:r>
          </w:p>
        </w:tc>
        <w:tc>
          <w:tcPr>
            <w:tcW w:w="709" w:type="dxa"/>
            <w:tcBorders>
              <w:top w:val="single" w:color="auto" w:sz="4" w:space="0"/>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3.4阅读推广（11分）</w:t>
            </w:r>
          </w:p>
        </w:tc>
        <w:tc>
          <w:tcPr>
            <w:tcW w:w="14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3.4.1阅读指导机构（1分）</w:t>
            </w:r>
          </w:p>
        </w:tc>
        <w:tc>
          <w:tcPr>
            <w:tcW w:w="8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1</w:t>
            </w:r>
          </w:p>
        </w:tc>
        <w:tc>
          <w:tcPr>
            <w:tcW w:w="6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学校设立由一名校领导牵头、图书馆馆长负责日常工作的阅读指导机构，组织指导阅读活动实施</w:t>
            </w:r>
          </w:p>
        </w:tc>
        <w:tc>
          <w:tcPr>
            <w:tcW w:w="5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学校成立校领导牵头的阅读指导机构，图书馆馆长负责阅读指导机构日常工作，得0.5分</w:t>
            </w:r>
          </w:p>
        </w:tc>
        <w:tc>
          <w:tcPr>
            <w:tcW w:w="709" w:type="dxa"/>
            <w:tcBorders>
              <w:top w:val="single" w:color="auto" w:sz="4" w:space="0"/>
              <w:left w:val="single" w:color="auto" w:sz="4" w:space="0"/>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定期召开会议，制定学校阅读计划，组织阅读活动实施，反映读者意见和要求，向学校提供改进阅读活动的建议，得0.5分</w:t>
            </w:r>
          </w:p>
        </w:tc>
        <w:tc>
          <w:tcPr>
            <w:tcW w:w="709" w:type="dxa"/>
            <w:tcBorders>
              <w:top w:val="single" w:color="auto" w:sz="4" w:space="0"/>
              <w:left w:val="single" w:color="auto" w:sz="4" w:space="0"/>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3.4.2学校阅读活动（3分）</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图书馆举办和参与多种形式的讲座、演讲、读书会、故事会等阅读推广活动（学校、年级、班级等层面）</w:t>
            </w:r>
          </w:p>
        </w:tc>
        <w:tc>
          <w:tcPr>
            <w:tcW w:w="5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图书馆年开展或参与各种校级阅读推广活动大于5次，得3分；3-5次，得2分；1-2次，得1分</w:t>
            </w:r>
          </w:p>
        </w:tc>
        <w:tc>
          <w:tcPr>
            <w:tcW w:w="709" w:type="dxa"/>
            <w:tcBorders>
              <w:top w:val="single" w:color="auto" w:sz="4" w:space="0"/>
              <w:left w:val="single" w:color="auto" w:sz="4" w:space="0"/>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3.4.3市区阅读活动（3分）</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图书馆参与市、区阅读推广活动，取得阅读推广活动成果奖励</w:t>
            </w:r>
          </w:p>
        </w:tc>
        <w:tc>
          <w:tcPr>
            <w:tcW w:w="5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图书馆组织学生参与市、区阅读推广活动，得1分；年参加各类阅读活动生均2次以上得1分；取得阅读推广活动市、区级奖励，市级得1分，区级得0.</w:t>
            </w:r>
            <w:r>
              <w:rPr>
                <w:rFonts w:asciiTheme="minorEastAsia" w:hAnsiTheme="minorEastAsia" w:eastAsiaTheme="minorEastAsia" w:cstheme="minorBidi"/>
                <w:sz w:val="18"/>
                <w:szCs w:val="18"/>
              </w:rPr>
              <w:t>5分</w:t>
            </w:r>
          </w:p>
        </w:tc>
        <w:tc>
          <w:tcPr>
            <w:tcW w:w="709" w:type="dxa"/>
            <w:tcBorders>
              <w:top w:val="single" w:color="auto" w:sz="4" w:space="0"/>
              <w:left w:val="single" w:color="auto" w:sz="4" w:space="0"/>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3.4.4开设阅读课（2分）</w:t>
            </w:r>
          </w:p>
        </w:tc>
        <w:tc>
          <w:tcPr>
            <w:tcW w:w="8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p>
        </w:tc>
        <w:tc>
          <w:tcPr>
            <w:tcW w:w="6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按照课程实施要求，开设或配合开设学生阅读课；利用班会、午会开展学生阅读</w:t>
            </w:r>
          </w:p>
        </w:tc>
        <w:tc>
          <w:tcPr>
            <w:tcW w:w="5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在图书馆开设阅读课程，得1分</w:t>
            </w:r>
          </w:p>
        </w:tc>
        <w:tc>
          <w:tcPr>
            <w:tcW w:w="709" w:type="dxa"/>
            <w:tcBorders>
              <w:top w:val="single" w:color="auto" w:sz="4" w:space="0"/>
              <w:left w:val="single" w:color="auto" w:sz="4" w:space="0"/>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小学阅读课进入课表得1分，中学利用拓展型、研究型课程开设相关阅读课程内容得1分</w:t>
            </w:r>
          </w:p>
        </w:tc>
        <w:tc>
          <w:tcPr>
            <w:tcW w:w="709" w:type="dxa"/>
            <w:tcBorders>
              <w:top w:val="single" w:color="auto" w:sz="4" w:space="0"/>
              <w:left w:val="single" w:color="auto" w:sz="4" w:space="0"/>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3.4.5 社团活动（2分）</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学校相关社团、读书小组开展情况</w:t>
            </w:r>
          </w:p>
        </w:tc>
        <w:tc>
          <w:tcPr>
            <w:tcW w:w="5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图书馆设立有关阅读的社团或读书小组，年开展活动8次或以上，得2分；4-7次，得1分</w:t>
            </w:r>
          </w:p>
        </w:tc>
        <w:tc>
          <w:tcPr>
            <w:tcW w:w="709" w:type="dxa"/>
            <w:tcBorders>
              <w:top w:val="single" w:color="auto" w:sz="4" w:space="0"/>
              <w:left w:val="single" w:color="auto" w:sz="4" w:space="0"/>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3.5对外协作（3分）</w:t>
            </w:r>
          </w:p>
        </w:tc>
        <w:tc>
          <w:tcPr>
            <w:tcW w:w="14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3.5.1馆际协作（2分）</w:t>
            </w:r>
          </w:p>
        </w:tc>
        <w:tc>
          <w:tcPr>
            <w:tcW w:w="8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p>
        </w:tc>
        <w:tc>
          <w:tcPr>
            <w:tcW w:w="6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theme="minorBidi"/>
                <w:sz w:val="18"/>
                <w:szCs w:val="18"/>
              </w:rPr>
            </w:pPr>
            <w:r>
              <w:rPr>
                <w:rFonts w:hint="eastAsia" w:ascii="宋体" w:hAnsi="宋体" w:cstheme="minorBidi"/>
                <w:sz w:val="18"/>
                <w:szCs w:val="18"/>
              </w:rPr>
              <w:t>2</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宋体" w:hAnsi="宋体" w:cstheme="minorBidi"/>
                <w:sz w:val="18"/>
                <w:szCs w:val="18"/>
              </w:rPr>
            </w:pPr>
            <w:r>
              <w:rPr>
                <w:rFonts w:hint="eastAsia" w:ascii="宋体" w:hAnsi="宋体" w:cstheme="minorBidi"/>
                <w:sz w:val="18"/>
                <w:szCs w:val="18"/>
              </w:rPr>
              <w:t>开展馆际协作交流或文献资源共享</w:t>
            </w:r>
          </w:p>
        </w:tc>
        <w:tc>
          <w:tcPr>
            <w:tcW w:w="5953" w:type="dxa"/>
            <w:tcBorders>
              <w:top w:val="single" w:color="auto" w:sz="4" w:space="0"/>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开展校际图书馆协作交流或文献资源共享，得1分</w:t>
            </w:r>
          </w:p>
        </w:tc>
        <w:tc>
          <w:tcPr>
            <w:tcW w:w="709" w:type="dxa"/>
            <w:tcBorders>
              <w:top w:val="single" w:color="auto" w:sz="4" w:space="0"/>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theme="minorBidi"/>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pPr>
              <w:spacing w:line="200" w:lineRule="exact"/>
              <w:rPr>
                <w:rFonts w:ascii="宋体" w:hAnsi="宋体" w:cstheme="minorBidi"/>
                <w:sz w:val="18"/>
                <w:szCs w:val="18"/>
              </w:rPr>
            </w:pP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与公共图书馆等文化机构开展协作交流或文献资源共享，得1分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tcBorders>
              <w:top w:val="nil"/>
              <w:left w:val="nil"/>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3.5.2社区服务（1分）</w:t>
            </w:r>
          </w:p>
        </w:tc>
        <w:tc>
          <w:tcPr>
            <w:tcW w:w="823"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p>
        </w:tc>
        <w:tc>
          <w:tcPr>
            <w:tcW w:w="696" w:type="dxa"/>
            <w:tcBorders>
              <w:top w:val="nil"/>
              <w:left w:val="nil"/>
              <w:bottom w:val="single" w:color="auto" w:sz="4" w:space="0"/>
              <w:right w:val="single" w:color="auto" w:sz="4" w:space="0"/>
            </w:tcBorders>
            <w:shd w:val="clear" w:color="auto" w:fill="auto"/>
            <w:vAlign w:val="center"/>
          </w:tcPr>
          <w:p>
            <w:pPr>
              <w:jc w:val="center"/>
              <w:rPr>
                <w:rFonts w:ascii="宋体" w:hAnsi="宋体" w:cstheme="minorBidi"/>
                <w:sz w:val="18"/>
                <w:szCs w:val="18"/>
              </w:rPr>
            </w:pPr>
            <w:r>
              <w:rPr>
                <w:rFonts w:hint="eastAsia" w:ascii="宋体" w:hAnsi="宋体" w:cstheme="minorBidi"/>
                <w:sz w:val="18"/>
                <w:szCs w:val="18"/>
              </w:rPr>
              <w:t>1</w:t>
            </w:r>
          </w:p>
        </w:tc>
        <w:tc>
          <w:tcPr>
            <w:tcW w:w="2977" w:type="dxa"/>
            <w:tcBorders>
              <w:top w:val="nil"/>
              <w:left w:val="nil"/>
              <w:bottom w:val="single" w:color="auto" w:sz="4" w:space="0"/>
              <w:right w:val="single" w:color="auto" w:sz="4" w:space="0"/>
            </w:tcBorders>
            <w:shd w:val="clear" w:color="auto" w:fill="auto"/>
            <w:vAlign w:val="center"/>
          </w:tcPr>
          <w:p>
            <w:pPr>
              <w:spacing w:line="200" w:lineRule="exact"/>
              <w:rPr>
                <w:rFonts w:ascii="宋体" w:hAnsi="宋体" w:cstheme="minorBidi"/>
                <w:sz w:val="18"/>
                <w:szCs w:val="18"/>
              </w:rPr>
            </w:pPr>
            <w:r>
              <w:rPr>
                <w:rFonts w:hint="eastAsia" w:ascii="宋体" w:hAnsi="宋体" w:cstheme="minorBidi"/>
                <w:sz w:val="18"/>
                <w:szCs w:val="18"/>
              </w:rPr>
              <w:t>为学生家长或社区提供文献资源借阅和相关服务</w:t>
            </w: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图书馆为学生家长或社区提供文献资源借阅和相关服务，得1分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4管理与保障      （20分）</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pacing w:val="-6"/>
                <w:sz w:val="18"/>
                <w:szCs w:val="18"/>
              </w:rPr>
            </w:pPr>
            <w:r>
              <w:rPr>
                <w:rFonts w:hint="eastAsia" w:asciiTheme="minorEastAsia" w:hAnsiTheme="minorEastAsia" w:eastAsiaTheme="minorEastAsia" w:cstheme="minorBidi"/>
                <w:spacing w:val="-6"/>
                <w:sz w:val="18"/>
                <w:szCs w:val="18"/>
              </w:rPr>
              <w:t>4.1队伍建设（10分）</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4.1.1人员配置（3分）</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根据学校类别、规模配置图书馆管理人员，图书馆管理人员配置满足文献管理和服务师生的需求</w:t>
            </w:r>
          </w:p>
        </w:tc>
        <w:tc>
          <w:tcPr>
            <w:tcW w:w="5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图书馆有专职管理人员得1分；图书馆管理人员达到应配人数的得</w:t>
            </w:r>
            <w:r>
              <w:rPr>
                <w:rFonts w:asciiTheme="minorEastAsia" w:hAnsiTheme="minorEastAsia" w:eastAsiaTheme="minorEastAsia" w:cstheme="minorBidi"/>
                <w:sz w:val="18"/>
                <w:szCs w:val="18"/>
              </w:rPr>
              <w:t>2</w:t>
            </w:r>
            <w:r>
              <w:rPr>
                <w:rFonts w:hint="eastAsia" w:asciiTheme="minorEastAsia" w:hAnsiTheme="minorEastAsia" w:eastAsiaTheme="minorEastAsia" w:cstheme="minorBidi"/>
                <w:sz w:val="18"/>
                <w:szCs w:val="18"/>
              </w:rPr>
              <w:t>分</w:t>
            </w:r>
          </w:p>
        </w:tc>
        <w:tc>
          <w:tcPr>
            <w:tcW w:w="709" w:type="dxa"/>
            <w:tcBorders>
              <w:top w:val="single" w:color="auto" w:sz="4" w:space="0"/>
              <w:left w:val="single" w:color="auto" w:sz="4" w:space="0"/>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62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4.1.2人员资质（2分）</w:t>
            </w:r>
          </w:p>
        </w:tc>
        <w:tc>
          <w:tcPr>
            <w:tcW w:w="8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w:t>
            </w:r>
          </w:p>
        </w:tc>
        <w:tc>
          <w:tcPr>
            <w:tcW w:w="6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中学馆长具备中级及以上相关专业技术职称，小学馆长具备初级及以上相关专业技术职称；中学图书馆管理人员具备大学本科及以上文化程度，小学图书馆管理人员具备大专及以上文化程度</w:t>
            </w:r>
          </w:p>
        </w:tc>
        <w:tc>
          <w:tcPr>
            <w:tcW w:w="5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*图书馆管理人员具备规定文化程度，得1分</w:t>
            </w:r>
          </w:p>
        </w:tc>
        <w:tc>
          <w:tcPr>
            <w:tcW w:w="709" w:type="dxa"/>
            <w:tcBorders>
              <w:top w:val="single" w:color="auto" w:sz="4" w:space="0"/>
              <w:left w:val="single" w:color="auto" w:sz="4" w:space="0"/>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图书馆管理人员具备相应专业技术职称，得1分</w:t>
            </w:r>
          </w:p>
        </w:tc>
        <w:tc>
          <w:tcPr>
            <w:tcW w:w="709" w:type="dxa"/>
            <w:tcBorders>
              <w:top w:val="single" w:color="auto" w:sz="4" w:space="0"/>
              <w:left w:val="single" w:color="auto" w:sz="4" w:space="0"/>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4.1.3人员专业发展（4分）</w:t>
            </w:r>
          </w:p>
        </w:tc>
        <w:tc>
          <w:tcPr>
            <w:tcW w:w="8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4</w:t>
            </w:r>
          </w:p>
        </w:tc>
        <w:tc>
          <w:tcPr>
            <w:tcW w:w="6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图书馆各岗位职责明晰，业务学习、进修培训、年度或学期工作绩效考核、职称评聘和提升机制等完善；在全国、市、区交流或获奖</w:t>
            </w:r>
          </w:p>
        </w:tc>
        <w:tc>
          <w:tcPr>
            <w:tcW w:w="5953" w:type="dxa"/>
            <w:tcBorders>
              <w:top w:val="single" w:color="auto" w:sz="4" w:space="0"/>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设立图书馆管理人员专业技术岗位（或管理岗位），岗位职责明晰，得0.5分</w:t>
            </w:r>
          </w:p>
        </w:tc>
        <w:tc>
          <w:tcPr>
            <w:tcW w:w="709" w:type="dxa"/>
            <w:tcBorders>
              <w:top w:val="single" w:color="auto" w:sz="4" w:space="0"/>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图书馆管理人员职称评聘纳入学校正常运作，得1分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图书馆管理人员定期接受专业继续教育或培训，得0.5 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图书馆管理人员参加校级以上课题研究或有图书馆相关科研成果发表或获奖，得1分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图书馆管理人员获市、区级相关活动奖励或在单位绩效考核中获得优秀，得1分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restart"/>
            <w:tcBorders>
              <w:top w:val="nil"/>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4.1.4志愿者队伍（1分）</w:t>
            </w:r>
          </w:p>
        </w:tc>
        <w:tc>
          <w:tcPr>
            <w:tcW w:w="823"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p>
        </w:tc>
        <w:tc>
          <w:tcPr>
            <w:tcW w:w="696"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1</w:t>
            </w:r>
          </w:p>
        </w:tc>
        <w:tc>
          <w:tcPr>
            <w:tcW w:w="2977" w:type="dxa"/>
            <w:vMerge w:val="restart"/>
            <w:tcBorders>
              <w:top w:val="nil"/>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建立学生、教师、家长志愿者队伍，招募、培训、工作等机制完善；组织学生参与图书馆管理工作</w:t>
            </w: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学校成立图书馆志愿者组织并且开展活动，得0.5分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组织学生参与图书馆管理，得0.5分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4.2经费保障（4分）</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4.2.1文献购置（2分）</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有年度馆藏分析和采购计划，师生购置纸质图书、数字文献经费有保障</w:t>
            </w:r>
          </w:p>
        </w:tc>
        <w:tc>
          <w:tcPr>
            <w:tcW w:w="5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*文献购置经费有保障，得2分</w:t>
            </w:r>
          </w:p>
        </w:tc>
        <w:tc>
          <w:tcPr>
            <w:tcW w:w="709" w:type="dxa"/>
            <w:tcBorders>
              <w:top w:val="single" w:color="auto" w:sz="4" w:space="0"/>
              <w:left w:val="single" w:color="auto" w:sz="4" w:space="0"/>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4.2.2日常运行（2分）</w:t>
            </w:r>
          </w:p>
        </w:tc>
        <w:tc>
          <w:tcPr>
            <w:tcW w:w="8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w:t>
            </w:r>
          </w:p>
        </w:tc>
        <w:tc>
          <w:tcPr>
            <w:tcW w:w="6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用于图书馆人员专业发展、阅读活动、设备购置、业务消耗品及图书馆日常维护经费有保障</w:t>
            </w:r>
          </w:p>
        </w:tc>
        <w:tc>
          <w:tcPr>
            <w:tcW w:w="5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学校经费预算中有图书馆日常运行经费预算，得1分</w:t>
            </w:r>
          </w:p>
        </w:tc>
        <w:tc>
          <w:tcPr>
            <w:tcW w:w="709" w:type="dxa"/>
            <w:tcBorders>
              <w:top w:val="single" w:color="auto" w:sz="4" w:space="0"/>
              <w:left w:val="single" w:color="auto" w:sz="4" w:space="0"/>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预算执行到位，得1分　</w:t>
            </w:r>
          </w:p>
        </w:tc>
        <w:tc>
          <w:tcPr>
            <w:tcW w:w="709" w:type="dxa"/>
            <w:tcBorders>
              <w:top w:val="single" w:color="auto" w:sz="4" w:space="0"/>
              <w:left w:val="single" w:color="auto" w:sz="4" w:space="0"/>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4.3制度管理（6分）</w:t>
            </w:r>
          </w:p>
        </w:tc>
        <w:tc>
          <w:tcPr>
            <w:tcW w:w="14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4.3.1管理机制（3分）</w:t>
            </w:r>
          </w:p>
        </w:tc>
        <w:tc>
          <w:tcPr>
            <w:tcW w:w="8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3</w:t>
            </w:r>
          </w:p>
        </w:tc>
        <w:tc>
          <w:tcPr>
            <w:tcW w:w="6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设立图书馆馆长，实行校长领导下的馆长负责制，馆长在学校的岗位、职务和报酬等的定级不低于教研组长的水准；建立学校图书遴选机制</w:t>
            </w:r>
          </w:p>
        </w:tc>
        <w:tc>
          <w:tcPr>
            <w:tcW w:w="5953" w:type="dxa"/>
            <w:tcBorders>
              <w:top w:val="single" w:color="auto" w:sz="4" w:space="0"/>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*图书馆实行校长领导下的馆长负责制，得1分</w:t>
            </w:r>
          </w:p>
        </w:tc>
        <w:tc>
          <w:tcPr>
            <w:tcW w:w="709" w:type="dxa"/>
            <w:tcBorders>
              <w:top w:val="single" w:color="auto" w:sz="4" w:space="0"/>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学校在图书馆建设与管理中听取馆长意见，得1分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图书馆馆长的待遇不低于教研组长，得1分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restart"/>
            <w:tcBorders>
              <w:top w:val="nil"/>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4.3.2规章制度（2分）</w:t>
            </w:r>
          </w:p>
        </w:tc>
        <w:tc>
          <w:tcPr>
            <w:tcW w:w="823"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w:t>
            </w:r>
          </w:p>
        </w:tc>
        <w:tc>
          <w:tcPr>
            <w:tcW w:w="696"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p>
        </w:tc>
        <w:tc>
          <w:tcPr>
            <w:tcW w:w="2977" w:type="dxa"/>
            <w:vMerge w:val="restart"/>
            <w:tcBorders>
              <w:top w:val="nil"/>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保证图书馆业务工作的正常开展，人员管理、岗位职责、经费使用、设备使用和维护、档案及安全保卫、环境管理等管理制度健全；文献采访、编目、流通、读者工作、信息化建设等业务规章制度齐备</w:t>
            </w: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图书馆管理制度健全，得1分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图书馆管理制度有效执行，得1分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restart"/>
            <w:tcBorders>
              <w:top w:val="nil"/>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pacing w:val="-10"/>
                <w:sz w:val="18"/>
                <w:szCs w:val="18"/>
              </w:rPr>
            </w:pPr>
            <w:r>
              <w:rPr>
                <w:rFonts w:hint="eastAsia" w:asciiTheme="minorEastAsia" w:hAnsiTheme="minorEastAsia" w:eastAsiaTheme="minorEastAsia" w:cstheme="minorBidi"/>
                <w:spacing w:val="-10"/>
                <w:sz w:val="18"/>
                <w:szCs w:val="18"/>
              </w:rPr>
              <w:t>4.3.3规划、计划与总结（1分）</w:t>
            </w:r>
          </w:p>
        </w:tc>
        <w:tc>
          <w:tcPr>
            <w:tcW w:w="823"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1</w:t>
            </w:r>
          </w:p>
        </w:tc>
        <w:tc>
          <w:tcPr>
            <w:tcW w:w="696"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p>
        </w:tc>
        <w:tc>
          <w:tcPr>
            <w:tcW w:w="2977" w:type="dxa"/>
            <w:vMerge w:val="restart"/>
            <w:tcBorders>
              <w:top w:val="nil"/>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图书馆有总体规划，有年度工作计划和总结</w:t>
            </w: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图书馆有发展规划或学校发展规划中有图书馆发展方面的内容，得0.5分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1458" w:type="dxa"/>
            <w:vMerge w:val="continue"/>
            <w:tcBorders>
              <w:top w:val="nil"/>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823"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696" w:type="dxa"/>
            <w:vMerge w:val="continue"/>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Bidi"/>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pPr>
              <w:spacing w:line="200" w:lineRule="exact"/>
              <w:rPr>
                <w:rFonts w:asciiTheme="minorEastAsia" w:hAnsiTheme="minorEastAsia" w:eastAsiaTheme="minorEastAsia" w:cstheme="minorBidi"/>
                <w:sz w:val="18"/>
                <w:szCs w:val="18"/>
              </w:rPr>
            </w:pPr>
          </w:p>
        </w:tc>
        <w:tc>
          <w:tcPr>
            <w:tcW w:w="5953" w:type="dxa"/>
            <w:tcBorders>
              <w:top w:val="nil"/>
              <w:left w:val="nil"/>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图书馆有年度工作计划、业务统计、年度总结，得0.5分</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340" w:hRule="atLeast"/>
        </w:trPr>
        <w:tc>
          <w:tcPr>
            <w:tcW w:w="993" w:type="dxa"/>
            <w:vMerge w:val="restart"/>
            <w:tcBorders>
              <w:top w:val="single" w:color="auto" w:sz="4" w:space="0"/>
              <w:left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5特色与创新      （10分）</w:t>
            </w:r>
          </w:p>
        </w:tc>
        <w:tc>
          <w:tcPr>
            <w:tcW w:w="2592"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5.1馆舍与装备</w:t>
            </w:r>
          </w:p>
        </w:tc>
        <w:tc>
          <w:tcPr>
            <w:tcW w:w="823"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p>
        </w:tc>
        <w:tc>
          <w:tcPr>
            <w:tcW w:w="69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w:t>
            </w:r>
          </w:p>
        </w:tc>
        <w:tc>
          <w:tcPr>
            <w:tcW w:w="2977" w:type="dxa"/>
            <w:vMerge w:val="restart"/>
            <w:tcBorders>
              <w:top w:val="nil"/>
              <w:left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图书馆根据本校的办学特色，在创设舒适、便捷的阅览环境、建设丰富和符合读者需求的文献资源、提供优质和个性化的服务及提高管理效能等方面做出富有成效的、独特的、具有引领示范价值的创新举措</w:t>
            </w:r>
          </w:p>
        </w:tc>
        <w:tc>
          <w:tcPr>
            <w:tcW w:w="5953" w:type="dxa"/>
            <w:vMerge w:val="restart"/>
            <w:tcBorders>
              <w:top w:val="nil"/>
              <w:left w:val="nil"/>
              <w:right w:val="single" w:color="auto" w:sz="4" w:space="0"/>
            </w:tcBorders>
            <w:shd w:val="clear" w:color="auto" w:fill="auto"/>
            <w:vAlign w:val="center"/>
          </w:tcPr>
          <w:p>
            <w:pPr>
              <w:spacing w:line="200" w:lineRule="exact"/>
              <w:rPr>
                <w:rFonts w:hint="eastAsia"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本项目评分专指，在“馆舍与装备、文献资源、服务利用、管理与保障”四大评估模块的基本评估指标外的创新举措（可分别加1-</w:t>
            </w:r>
            <w:r>
              <w:rPr>
                <w:rFonts w:asciiTheme="minorEastAsia" w:hAnsiTheme="minorEastAsia" w:eastAsiaTheme="minorEastAsia" w:cstheme="minorBidi"/>
                <w:sz w:val="18"/>
                <w:szCs w:val="18"/>
              </w:rPr>
              <w:t>4</w:t>
            </w:r>
            <w:r>
              <w:rPr>
                <w:rFonts w:hint="eastAsia" w:asciiTheme="minorEastAsia" w:hAnsiTheme="minorEastAsia" w:eastAsiaTheme="minorEastAsia" w:cstheme="minorBidi"/>
                <w:sz w:val="18"/>
                <w:szCs w:val="18"/>
              </w:rPr>
              <w:t>分），重点关注能显著放大图书馆服务效益、提高图书馆管理效能、促进图书馆文献资源利用等方面具有独特性和引领示范价值的举措</w:t>
            </w:r>
          </w:p>
        </w:tc>
        <w:tc>
          <w:tcPr>
            <w:tcW w:w="709" w:type="dxa"/>
            <w:tcBorders>
              <w:top w:val="nil"/>
              <w:left w:val="nil"/>
              <w:bottom w:val="single" w:color="auto" w:sz="4" w:space="0"/>
              <w:right w:val="single" w:color="auto" w:sz="4" w:space="0"/>
            </w:tcBorders>
          </w:tcPr>
          <w:p>
            <w:pPr>
              <w:spacing w:line="200" w:lineRule="exact"/>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284" w:hRule="atLeast"/>
        </w:trPr>
        <w:tc>
          <w:tcPr>
            <w:tcW w:w="993" w:type="dxa"/>
            <w:vMerge w:val="continue"/>
            <w:tcBorders>
              <w:left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2592"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5.2文献资源</w:t>
            </w:r>
          </w:p>
        </w:tc>
        <w:tc>
          <w:tcPr>
            <w:tcW w:w="823"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p>
        </w:tc>
        <w:tc>
          <w:tcPr>
            <w:tcW w:w="69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w:t>
            </w:r>
          </w:p>
        </w:tc>
        <w:tc>
          <w:tcPr>
            <w:tcW w:w="2977" w:type="dxa"/>
            <w:vMerge w:val="continue"/>
            <w:tcBorders>
              <w:left w:val="single" w:color="auto" w:sz="4" w:space="0"/>
              <w:right w:val="single" w:color="auto" w:sz="4" w:space="0"/>
            </w:tcBorders>
            <w:vAlign w:val="center"/>
          </w:tcPr>
          <w:p>
            <w:pPr>
              <w:rPr>
                <w:rFonts w:asciiTheme="minorEastAsia" w:hAnsiTheme="minorEastAsia" w:eastAsiaTheme="minorEastAsia" w:cstheme="minorBidi"/>
                <w:sz w:val="18"/>
                <w:szCs w:val="18"/>
              </w:rPr>
            </w:pPr>
          </w:p>
        </w:tc>
        <w:tc>
          <w:tcPr>
            <w:tcW w:w="5953" w:type="dxa"/>
            <w:vMerge w:val="continue"/>
            <w:tcBorders>
              <w:left w:val="nil"/>
              <w:right w:val="single" w:color="auto" w:sz="4" w:space="0"/>
            </w:tcBorders>
            <w:shd w:val="clear" w:color="auto" w:fill="auto"/>
            <w:vAlign w:val="center"/>
          </w:tcPr>
          <w:p>
            <w:pPr>
              <w:rPr>
                <w:rFonts w:asciiTheme="minorEastAsia" w:hAnsiTheme="minorEastAsia" w:eastAsiaTheme="minorEastAsia" w:cstheme="minorBidi"/>
                <w:sz w:val="18"/>
                <w:szCs w:val="18"/>
              </w:rPr>
            </w:pPr>
          </w:p>
        </w:tc>
        <w:tc>
          <w:tcPr>
            <w:tcW w:w="709" w:type="dxa"/>
            <w:tcBorders>
              <w:top w:val="nil"/>
              <w:left w:val="nil"/>
              <w:bottom w:val="single" w:color="auto" w:sz="4" w:space="0"/>
              <w:right w:val="single" w:color="auto" w:sz="4" w:space="0"/>
            </w:tcBorders>
          </w:tcPr>
          <w:p>
            <w:pPr>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284" w:hRule="atLeast"/>
        </w:trPr>
        <w:tc>
          <w:tcPr>
            <w:tcW w:w="993" w:type="dxa"/>
            <w:vMerge w:val="continue"/>
            <w:tcBorders>
              <w:left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25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5.3服务与利用</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4</w:t>
            </w:r>
          </w:p>
        </w:tc>
        <w:tc>
          <w:tcPr>
            <w:tcW w:w="2977" w:type="dxa"/>
            <w:vMerge w:val="continue"/>
            <w:tcBorders>
              <w:left w:val="single" w:color="auto" w:sz="4" w:space="0"/>
              <w:right w:val="single" w:color="auto" w:sz="4" w:space="0"/>
            </w:tcBorders>
            <w:vAlign w:val="center"/>
          </w:tcPr>
          <w:p>
            <w:pPr>
              <w:rPr>
                <w:rFonts w:asciiTheme="minorEastAsia" w:hAnsiTheme="minorEastAsia" w:eastAsiaTheme="minorEastAsia" w:cstheme="minorBidi"/>
                <w:sz w:val="18"/>
                <w:szCs w:val="18"/>
              </w:rPr>
            </w:pPr>
          </w:p>
        </w:tc>
        <w:tc>
          <w:tcPr>
            <w:tcW w:w="5953" w:type="dxa"/>
            <w:vMerge w:val="continue"/>
            <w:tcBorders>
              <w:left w:val="single" w:color="auto" w:sz="4" w:space="0"/>
              <w:right w:val="single" w:color="auto" w:sz="4" w:space="0"/>
            </w:tcBorders>
            <w:shd w:val="clear" w:color="auto" w:fill="auto"/>
            <w:vAlign w:val="center"/>
          </w:tcPr>
          <w:p>
            <w:pPr>
              <w:rPr>
                <w:rFonts w:asciiTheme="minorEastAsia" w:hAnsiTheme="minorEastAsia" w:eastAsiaTheme="minorEastAsia" w:cstheme="minorBidi"/>
                <w:sz w:val="18"/>
                <w:szCs w:val="18"/>
              </w:rPr>
            </w:pPr>
          </w:p>
        </w:tc>
        <w:tc>
          <w:tcPr>
            <w:tcW w:w="709"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Bidi"/>
                <w:sz w:val="18"/>
                <w:szCs w:val="18"/>
              </w:rPr>
            </w:pPr>
          </w:p>
        </w:tc>
      </w:tr>
      <w:tr>
        <w:tblPrEx>
          <w:tblCellMar>
            <w:top w:w="0" w:type="dxa"/>
            <w:left w:w="108" w:type="dxa"/>
            <w:bottom w:w="0" w:type="dxa"/>
            <w:right w:w="108" w:type="dxa"/>
          </w:tblCellMar>
        </w:tblPrEx>
        <w:trPr>
          <w:trHeight w:val="284" w:hRule="atLeast"/>
        </w:trPr>
        <w:tc>
          <w:tcPr>
            <w:tcW w:w="993" w:type="dxa"/>
            <w:vMerge w:val="continue"/>
            <w:tcBorders>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Bidi"/>
                <w:sz w:val="18"/>
                <w:szCs w:val="18"/>
              </w:rPr>
            </w:pPr>
          </w:p>
        </w:tc>
        <w:tc>
          <w:tcPr>
            <w:tcW w:w="25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5.4管理与保障</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2</w:t>
            </w:r>
          </w:p>
        </w:tc>
        <w:tc>
          <w:tcPr>
            <w:tcW w:w="2977" w:type="dxa"/>
            <w:vMerge w:val="continue"/>
            <w:tcBorders>
              <w:left w:val="single" w:color="auto" w:sz="4" w:space="0"/>
              <w:bottom w:val="single" w:color="auto" w:sz="4" w:space="0"/>
              <w:right w:val="single" w:color="auto" w:sz="4" w:space="0"/>
            </w:tcBorders>
            <w:vAlign w:val="center"/>
          </w:tcPr>
          <w:p>
            <w:pPr>
              <w:rPr>
                <w:rFonts w:asciiTheme="minorEastAsia" w:hAnsiTheme="minorEastAsia" w:eastAsiaTheme="minorEastAsia" w:cstheme="minorBidi"/>
                <w:sz w:val="18"/>
                <w:szCs w:val="18"/>
              </w:rPr>
            </w:pPr>
          </w:p>
        </w:tc>
        <w:tc>
          <w:tcPr>
            <w:tcW w:w="5953" w:type="dxa"/>
            <w:vMerge w:val="continue"/>
            <w:tcBorders>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stheme="minorBidi"/>
                <w:sz w:val="18"/>
                <w:szCs w:val="18"/>
              </w:rPr>
            </w:pPr>
          </w:p>
        </w:tc>
        <w:tc>
          <w:tcPr>
            <w:tcW w:w="709"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Bidi"/>
                <w:sz w:val="18"/>
                <w:szCs w:val="18"/>
              </w:rPr>
            </w:pPr>
          </w:p>
        </w:tc>
      </w:tr>
    </w:tbl>
    <w:p>
      <w:pPr>
        <w:spacing w:line="560" w:lineRule="exact"/>
        <w:rPr>
          <w:rFonts w:asciiTheme="minorEastAsia" w:hAnsiTheme="minorEastAsia" w:eastAsiaTheme="minorEastAsia" w:cstheme="minorBidi"/>
          <w:sz w:val="22"/>
          <w:szCs w:val="22"/>
        </w:rPr>
      </w:pPr>
      <w:bookmarkStart w:id="0" w:name="_GoBack"/>
      <w:bookmarkEnd w:id="0"/>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6</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D9D"/>
    <w:rsid w:val="00013E4D"/>
    <w:rsid w:val="00025D30"/>
    <w:rsid w:val="00027AD5"/>
    <w:rsid w:val="000478CA"/>
    <w:rsid w:val="000A6D9D"/>
    <w:rsid w:val="000B0B08"/>
    <w:rsid w:val="000C1D41"/>
    <w:rsid w:val="00132959"/>
    <w:rsid w:val="001A7EAC"/>
    <w:rsid w:val="002A0AF1"/>
    <w:rsid w:val="003149EE"/>
    <w:rsid w:val="00347879"/>
    <w:rsid w:val="003752B4"/>
    <w:rsid w:val="00394E66"/>
    <w:rsid w:val="004000E1"/>
    <w:rsid w:val="004013E8"/>
    <w:rsid w:val="004138D2"/>
    <w:rsid w:val="004663E3"/>
    <w:rsid w:val="004712EB"/>
    <w:rsid w:val="00476A19"/>
    <w:rsid w:val="00502B5C"/>
    <w:rsid w:val="00551CFB"/>
    <w:rsid w:val="005845EE"/>
    <w:rsid w:val="005A3CF1"/>
    <w:rsid w:val="005C38CB"/>
    <w:rsid w:val="00640DDD"/>
    <w:rsid w:val="00662FBA"/>
    <w:rsid w:val="006755D0"/>
    <w:rsid w:val="0068052F"/>
    <w:rsid w:val="006A0227"/>
    <w:rsid w:val="006D5EA6"/>
    <w:rsid w:val="00732A56"/>
    <w:rsid w:val="00753D51"/>
    <w:rsid w:val="00765A20"/>
    <w:rsid w:val="007935D3"/>
    <w:rsid w:val="00807A37"/>
    <w:rsid w:val="008633C6"/>
    <w:rsid w:val="008F7500"/>
    <w:rsid w:val="00946B4F"/>
    <w:rsid w:val="0099631D"/>
    <w:rsid w:val="009974A2"/>
    <w:rsid w:val="009B479B"/>
    <w:rsid w:val="009D2177"/>
    <w:rsid w:val="009D4E2A"/>
    <w:rsid w:val="00A07CF8"/>
    <w:rsid w:val="00AB3188"/>
    <w:rsid w:val="00B06764"/>
    <w:rsid w:val="00B22706"/>
    <w:rsid w:val="00B65682"/>
    <w:rsid w:val="00BC5273"/>
    <w:rsid w:val="00C1188C"/>
    <w:rsid w:val="00C3617E"/>
    <w:rsid w:val="00C544F1"/>
    <w:rsid w:val="00C70DB6"/>
    <w:rsid w:val="00C8540F"/>
    <w:rsid w:val="00C876C5"/>
    <w:rsid w:val="00CA0FB7"/>
    <w:rsid w:val="00CC3B52"/>
    <w:rsid w:val="00CC7682"/>
    <w:rsid w:val="00D36574"/>
    <w:rsid w:val="00DB4ECE"/>
    <w:rsid w:val="00DD19C0"/>
    <w:rsid w:val="00DE10FF"/>
    <w:rsid w:val="00E2035E"/>
    <w:rsid w:val="00E32DAA"/>
    <w:rsid w:val="00E44838"/>
    <w:rsid w:val="00F211F9"/>
    <w:rsid w:val="00FA1EB8"/>
    <w:rsid w:val="00FF229A"/>
    <w:rsid w:val="03D43113"/>
    <w:rsid w:val="13EF4084"/>
    <w:rsid w:val="2C22744B"/>
    <w:rsid w:val="632C3947"/>
    <w:rsid w:val="6C2C1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p0"/>
    <w:basedOn w:val="1"/>
    <w:qFormat/>
    <w:uiPriority w:val="0"/>
    <w:pPr>
      <w:widowControl/>
    </w:pPr>
    <w:rPr>
      <w:rFonts w:ascii="宋体" w:hAnsi="宋体" w:cs="宋体"/>
      <w:kern w:val="0"/>
      <w:szCs w:val="21"/>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paragraph" w:customStyle="1" w:styleId="14">
    <w:name w:val="_Style 13"/>
    <w:basedOn w:val="1"/>
    <w:next w:val="11"/>
    <w:qFormat/>
    <w:uiPriority w:val="34"/>
    <w:pPr>
      <w:ind w:firstLine="420" w:firstLineChars="200"/>
    </w:pPr>
    <w:rPr>
      <w:rFonts w:ascii="Calibri" w:hAnsi="Calibri"/>
      <w:szCs w:val="22"/>
    </w:rPr>
  </w:style>
  <w:style w:type="table" w:customStyle="1" w:styleId="15">
    <w:name w:val="网格型1"/>
    <w:basedOn w:val="6"/>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1008</Words>
  <Characters>5752</Characters>
  <Lines>47</Lines>
  <Paragraphs>13</Paragraphs>
  <TotalTime>0</TotalTime>
  <ScaleCrop>false</ScaleCrop>
  <LinksUpToDate>false</LinksUpToDate>
  <CharactersWithSpaces>6747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2019-11-13T10:15:00Z</dcterms:created>
  <dc:creator>魏群</dc:creator>
  <cp:lastModifiedBy>魏群</cp:lastModifiedBy>
  <cp:lastPrinted>2019-09-30T00:44:00Z</cp:lastPrinted>
  <dcterms:modified xsi:type="dcterms:W3CDTF">2021-06-01T02:19:58Z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5B7F432163474C90A3B8B05C8899E291</vt:lpwstr>
  </property>
</Properties>
</file>