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25" w:rsidRDefault="00C7408D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3</w:t>
      </w:r>
    </w:p>
    <w:p w:rsidR="00443225" w:rsidRDefault="00443225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443225" w:rsidRDefault="00C7408D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宝山区普教系统“卓越校长卓越教师培养工程”实施意见</w:t>
      </w:r>
    </w:p>
    <w:p w:rsidR="00443225" w:rsidRDefault="0044322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为贯彻落实《中共中央国务院关于全面深化新时代教师队伍建设改革的意见》（中发〔</w:t>
      </w:r>
      <w:r>
        <w:rPr>
          <w:rFonts w:ascii="仿宋_GB2312" w:eastAsia="仿宋_GB2312" w:hAnsi="仿宋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号），培养新时代宝山区高素质、专业化、创新型校长和教师队伍，打造人才高地，根据《上海市教师队伍建设“十三五”规划》《宝山区人才发展“十三五”规划》《宝山区教育改革和发展“十三五”规划》等精神，现制定宝山区普教系统“卓越校长（含园长、书记，下同）卓越教师培养工程”（以下简称“卓越工程”）实施意见。</w:t>
      </w:r>
    </w:p>
    <w:p w:rsidR="00443225" w:rsidRDefault="00C7408D">
      <w:pPr>
        <w:spacing w:line="560" w:lineRule="exact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一、指导思想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以习近平新时代中国特色社会主义思想为指导，全面贯彻党的十九大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 w:hint="eastAsia"/>
          <w:sz w:val="32"/>
          <w:szCs w:val="32"/>
        </w:rPr>
        <w:t>十九届二中、三中、四中全会精神，深入贯彻落实上海市</w:t>
      </w:r>
      <w:r>
        <w:rPr>
          <w:rFonts w:ascii="仿宋_GB2312" w:eastAsia="仿宋_GB2312" w:hAnsi="仿宋" w:hint="eastAsia"/>
          <w:sz w:val="32"/>
          <w:szCs w:val="32"/>
        </w:rPr>
        <w:t>教育综合改革总体部署和宝山区人才强区、人才强教战略，以教育思想理论</w:t>
      </w:r>
      <w:r>
        <w:rPr>
          <w:rFonts w:ascii="仿宋_GB2312" w:eastAsia="仿宋_GB2312" w:hAnsi="仿宋" w:hint="eastAsia"/>
          <w:sz w:val="32"/>
          <w:szCs w:val="32"/>
        </w:rPr>
        <w:t>建设和专业能力建设为重点，优化管理机制和培养模式，加快推进校长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 w:hint="eastAsia"/>
          <w:sz w:val="32"/>
          <w:szCs w:val="32"/>
        </w:rPr>
        <w:t>教师队伍的高质量发展，为办好人民满意教育，建设“陶行知教育创新发展区”提供</w:t>
      </w:r>
      <w:r>
        <w:rPr>
          <w:rFonts w:ascii="仿宋_GB2312" w:eastAsia="仿宋_GB2312" w:hAnsi="仿宋" w:hint="eastAsia"/>
          <w:sz w:val="32"/>
          <w:szCs w:val="32"/>
        </w:rPr>
        <w:t>人才保障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443225" w:rsidRDefault="00C7408D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二、基本原则</w:t>
      </w:r>
    </w:p>
    <w:p w:rsidR="00443225" w:rsidRDefault="00C7408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坚持</w:t>
      </w:r>
      <w:r>
        <w:rPr>
          <w:rFonts w:ascii="仿宋_GB2312" w:eastAsia="仿宋_GB2312" w:hAnsi="仿宋" w:hint="eastAsia"/>
          <w:sz w:val="32"/>
          <w:szCs w:val="32"/>
        </w:rPr>
        <w:t>“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主动发展、滚动培养、注重实效</w:t>
      </w:r>
      <w:r>
        <w:rPr>
          <w:rFonts w:ascii="仿宋_GB2312" w:eastAsia="仿宋_GB2312" w:hAnsi="仿宋" w:hint="eastAsia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的培养原则。</w:t>
      </w:r>
    </w:p>
    <w:p w:rsidR="00443225" w:rsidRDefault="00C7408D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自愿参与，主动发展</w:t>
      </w:r>
    </w:p>
    <w:p w:rsidR="00443225" w:rsidRDefault="00C7408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主观上有追求专业发展和事业进步的动力，有成为教育家</w:t>
      </w:r>
      <w:r>
        <w:rPr>
          <w:rFonts w:ascii="仿宋_GB2312" w:eastAsia="仿宋_GB2312" w:hAnsi="仿宋" w:hint="eastAsia"/>
          <w:sz w:val="32"/>
          <w:szCs w:val="32"/>
        </w:rPr>
        <w:t>型校长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 w:hint="eastAsia"/>
          <w:sz w:val="32"/>
          <w:szCs w:val="32"/>
        </w:rPr>
        <w:t>教师</w:t>
      </w:r>
      <w:r>
        <w:rPr>
          <w:rFonts w:ascii="仿宋_GB2312" w:eastAsia="仿宋_GB2312" w:hAnsi="仿宋" w:hint="eastAsia"/>
          <w:sz w:val="32"/>
          <w:szCs w:val="32"/>
        </w:rPr>
        <w:t>的愿望，积极主动，自愿报名。</w:t>
      </w:r>
    </w:p>
    <w:p w:rsidR="00443225" w:rsidRDefault="00C7408D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宽进严出，滚动培养</w:t>
      </w:r>
    </w:p>
    <w:p w:rsidR="00443225" w:rsidRDefault="00C7408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组织专家遴选</w:t>
      </w:r>
      <w:r>
        <w:rPr>
          <w:rFonts w:ascii="仿宋_GB2312" w:eastAsia="仿宋_GB2312" w:hAnsi="仿宋" w:hint="eastAsia"/>
          <w:sz w:val="32"/>
          <w:szCs w:val="32"/>
        </w:rPr>
        <w:t>学员</w:t>
      </w:r>
      <w:r>
        <w:rPr>
          <w:rFonts w:ascii="仿宋_GB2312" w:eastAsia="仿宋_GB2312" w:hAnsi="仿宋" w:hint="eastAsia"/>
          <w:sz w:val="32"/>
          <w:szCs w:val="32"/>
        </w:rPr>
        <w:t>，形成培养梯队；组织入选学员参加诊断式短期研训，确定</w:t>
      </w:r>
      <w:r>
        <w:rPr>
          <w:rFonts w:ascii="仿宋_GB2312" w:eastAsia="仿宋_GB2312" w:hAnsi="仿宋" w:hint="eastAsia"/>
          <w:sz w:val="32"/>
          <w:szCs w:val="32"/>
        </w:rPr>
        <w:t>分批</w:t>
      </w:r>
      <w:r>
        <w:rPr>
          <w:rFonts w:ascii="仿宋_GB2312" w:eastAsia="仿宋_GB2312" w:hAnsi="仿宋" w:hint="eastAsia"/>
          <w:sz w:val="32"/>
          <w:szCs w:val="32"/>
        </w:rPr>
        <w:t>培养对象。采取滚动培养模式，</w:t>
      </w:r>
      <w:r>
        <w:rPr>
          <w:rFonts w:ascii="仿宋_GB2312" w:eastAsia="仿宋_GB2312" w:hAnsi="仿宋" w:hint="eastAsia"/>
          <w:sz w:val="32"/>
          <w:szCs w:val="32"/>
        </w:rPr>
        <w:t>期间</w:t>
      </w:r>
      <w:r>
        <w:rPr>
          <w:rFonts w:ascii="仿宋_GB2312" w:eastAsia="仿宋_GB2312" w:hAnsi="仿宋" w:hint="eastAsia"/>
          <w:sz w:val="32"/>
          <w:szCs w:val="32"/>
        </w:rPr>
        <w:t>被评为上海市特级校长特级教师、正高级教师等可提前结业，空额在第二梯队中再行遴选。</w:t>
      </w:r>
    </w:p>
    <w:p w:rsidR="00443225" w:rsidRDefault="00C7408D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行动研究，注重实效</w:t>
      </w:r>
    </w:p>
    <w:p w:rsidR="00443225" w:rsidRDefault="00C7408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以办学和治学的真问题、难问题为内容开展行动研究，在专家指导下有效解决问题，总结提炼经验方法，实现理论与实践的</w:t>
      </w:r>
      <w:r>
        <w:rPr>
          <w:rFonts w:ascii="仿宋_GB2312" w:eastAsia="仿宋_GB2312" w:hAnsi="仿宋" w:hint="eastAsia"/>
          <w:sz w:val="32"/>
          <w:szCs w:val="32"/>
        </w:rPr>
        <w:t>有效统一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443225" w:rsidRDefault="00C7408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三、项目概述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“卓越工程”</w:t>
      </w:r>
      <w:r>
        <w:rPr>
          <w:rFonts w:ascii="仿宋_GB2312" w:eastAsia="仿宋_GB2312" w:hAnsi="仿宋" w:hint="eastAsia"/>
          <w:sz w:val="32"/>
          <w:szCs w:val="32"/>
        </w:rPr>
        <w:t>坚持党管干部党管人才原则，弘扬陶行知教育思想，回应社会与时代对教育优质均衡的需求，致力于培养高层次管理人才和学科专业人才，建设宝山教育人才高地。</w:t>
      </w:r>
      <w:r>
        <w:rPr>
          <w:rFonts w:ascii="仿宋_GB2312" w:eastAsia="仿宋_GB2312" w:hint="eastAsia"/>
          <w:sz w:val="32"/>
          <w:szCs w:val="32"/>
        </w:rPr>
        <w:t>“卓越工程”包含两项培养计划，即宝山区普教系统卓越校长培养计划（简称“卓越校长计划”）、宝山区普教系统卓越教师培养计划（简称“卓越教师计划”）。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443225" w:rsidRDefault="00C7408D">
      <w:pPr>
        <w:spacing w:line="560" w:lineRule="exact"/>
        <w:ind w:firstLineChars="196" w:firstLine="630"/>
        <w:rPr>
          <w:rStyle w:val="a4"/>
          <w:rFonts w:ascii="楷体_GB2312" w:eastAsia="楷体_GB2312" w:hAnsi="楷体_GB2312" w:cs="楷体_GB2312"/>
          <w:b/>
          <w:sz w:val="32"/>
          <w:szCs w:val="32"/>
        </w:rPr>
      </w:pPr>
      <w:r>
        <w:rPr>
          <w:rStyle w:val="a4"/>
          <w:rFonts w:ascii="楷体_GB2312" w:eastAsia="楷体_GB2312" w:hAnsi="楷体_GB2312" w:cs="楷体_GB2312" w:hint="eastAsia"/>
          <w:b/>
          <w:sz w:val="32"/>
          <w:szCs w:val="32"/>
        </w:rPr>
        <w:t>（一）“卓越校长计划”</w:t>
      </w:r>
    </w:p>
    <w:p w:rsidR="00443225" w:rsidRDefault="00C7408D">
      <w:pPr>
        <w:spacing w:line="560" w:lineRule="exact"/>
        <w:ind w:firstLineChars="196" w:firstLine="627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为本区高层次校长定制的培养项目，</w:t>
      </w:r>
      <w:r>
        <w:rPr>
          <w:rFonts w:ascii="仿宋_GB2312" w:eastAsia="仿宋_GB2312" w:hAnsi="仿宋" w:hint="eastAsia"/>
          <w:sz w:val="32"/>
          <w:szCs w:val="32"/>
        </w:rPr>
        <w:t>每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期计划遴选学员</w:t>
      </w:r>
      <w:r>
        <w:rPr>
          <w:rFonts w:ascii="仿宋_GB2312" w:eastAsia="仿宋_GB2312" w:hAnsi="宋体" w:cs="仿宋"/>
          <w:kern w:val="0"/>
          <w:sz w:val="32"/>
          <w:szCs w:val="32"/>
        </w:rPr>
        <w:t>15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名。</w:t>
      </w:r>
      <w:r>
        <w:rPr>
          <w:rFonts w:ascii="仿宋_GB2312" w:eastAsia="仿宋_GB2312" w:hAnsi="仿宋" w:hint="eastAsia"/>
          <w:sz w:val="32"/>
          <w:szCs w:val="32"/>
        </w:rPr>
        <w:t>项目引进高校培训资源及市级培养平台，以跨界培养和行动研究为主要方式，培育一批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在上海市、长三角区域乃至全国具有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lastRenderedPageBreak/>
        <w:t>一定影响力</w:t>
      </w:r>
      <w:r>
        <w:rPr>
          <w:rFonts w:ascii="仿宋_GB2312" w:eastAsia="仿宋_GB2312" w:hAnsi="仿宋" w:hint="eastAsia"/>
          <w:sz w:val="32"/>
          <w:szCs w:val="32"/>
        </w:rPr>
        <w:t>的教育家型校长。</w:t>
      </w:r>
    </w:p>
    <w:p w:rsidR="00443225" w:rsidRDefault="00C7408D">
      <w:pPr>
        <w:numPr>
          <w:ilvl w:val="0"/>
          <w:numId w:val="2"/>
        </w:numPr>
        <w:spacing w:line="560" w:lineRule="exact"/>
        <w:ind w:firstLineChars="196" w:firstLine="630"/>
        <w:rPr>
          <w:rStyle w:val="a4"/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“卓越教师计划”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为本区高层次教师定制的培养项目，</w:t>
      </w:r>
      <w:r>
        <w:rPr>
          <w:rFonts w:ascii="仿宋_GB2312" w:eastAsia="仿宋_GB2312" w:hAnsi="仿宋" w:hint="eastAsia"/>
          <w:sz w:val="32"/>
          <w:szCs w:val="32"/>
        </w:rPr>
        <w:t>每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期计划遴选学员</w:t>
      </w:r>
      <w:r>
        <w:rPr>
          <w:rFonts w:ascii="仿宋_GB2312" w:eastAsia="仿宋_GB2312" w:hAnsi="宋体" w:cs="仿宋"/>
          <w:kern w:val="0"/>
          <w:sz w:val="32"/>
          <w:szCs w:val="32"/>
        </w:rPr>
        <w:t>20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名。</w:t>
      </w:r>
      <w:r>
        <w:rPr>
          <w:rFonts w:ascii="仿宋_GB2312" w:eastAsia="仿宋_GB2312" w:hint="eastAsia"/>
          <w:sz w:val="32"/>
          <w:szCs w:val="32"/>
        </w:rPr>
        <w:t>项目以深挖优秀教师专业发展潜力推动区域教育教学改革为目标，着力培养一批具有</w:t>
      </w:r>
      <w:r>
        <w:rPr>
          <w:rFonts w:ascii="仿宋_GB2312" w:eastAsia="仿宋_GB2312" w:hint="eastAsia"/>
          <w:sz w:val="32"/>
          <w:szCs w:val="32"/>
        </w:rPr>
        <w:t>现代教育理念与独立思考能力，开放教育思想与创新教学实践能力，在上海市、长三角区域乃至全国具有一定影响力的未来名师。</w:t>
      </w:r>
    </w:p>
    <w:p w:rsidR="00443225" w:rsidRDefault="00C7408D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四、建设周期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项目为</w:t>
      </w:r>
      <w:r>
        <w:rPr>
          <w:rFonts w:ascii="仿宋_GB2312" w:eastAsia="仿宋_GB2312" w:hAnsi="华文中宋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年</w:t>
      </w:r>
      <w:r>
        <w:rPr>
          <w:rFonts w:ascii="仿宋_GB2312" w:eastAsia="仿宋_GB2312" w:hAnsi="华文中宋" w:hint="eastAsia"/>
          <w:sz w:val="32"/>
          <w:szCs w:val="32"/>
        </w:rPr>
        <w:t>一个周期</w:t>
      </w:r>
    </w:p>
    <w:p w:rsidR="00443225" w:rsidRDefault="00C7408D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</w:t>
      </w:r>
      <w:r>
        <w:rPr>
          <w:rFonts w:ascii="黑体" w:eastAsia="黑体" w:hint="eastAsia"/>
          <w:sz w:val="32"/>
          <w:szCs w:val="32"/>
        </w:rPr>
        <w:t>预期目标</w:t>
      </w:r>
    </w:p>
    <w:p w:rsidR="00443225" w:rsidRDefault="00C7408D">
      <w:pPr>
        <w:spacing w:line="560" w:lineRule="exact"/>
        <w:ind w:leftChars="152" w:left="319" w:firstLineChars="100" w:firstLine="321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（一）凝练研究成果，形成特色鲜明的办学思想和教育风格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注重学员个人主动发展意识和相关能力培养，以行动研究为主线，围绕学校管理、课程教学、队伍建设、学生发展的实际问题，面向教育现场进行研究和反思，总结形成个性化办学思想和教育风格，引导职业生涯迈上新的发展台阶。</w:t>
      </w:r>
    </w:p>
    <w:p w:rsidR="00443225" w:rsidRDefault="00C7408D">
      <w:pPr>
        <w:numPr>
          <w:ilvl w:val="0"/>
          <w:numId w:val="3"/>
        </w:num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探索培养路径，创新区域教育人才梯队建设机制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在制度设计、资源调用、人员选拔和组织管理方面注重创新，探索建立卓越校长卓越教师研修的新模式、新路径；进一步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优化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本区教育人才梯队的建设机制和辐射机制，整体提升区域校长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和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教师队伍的专业发展水平。</w:t>
      </w:r>
    </w:p>
    <w:p w:rsidR="00443225" w:rsidRDefault="00C7408D">
      <w:pPr>
        <w:spacing w:line="560" w:lineRule="exact"/>
        <w:ind w:firstLineChars="200" w:firstLine="643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（三）提升研修品质，构建培育教育家型校长教师研修文化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 xml:space="preserve">  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br/>
        <w:t xml:space="preserve">    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学习国际前沿的教育理论与实践，结合宝山教育发展实际，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lastRenderedPageBreak/>
        <w:t>形成具有问题解决指向、具有国际前沿视野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和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多元跨界特色的课程序列；通过制度优化、平台搭建等配套工程，形成研修内容跨学科、跨领域，培养过程系列化、个性化、精细化的研修文化。</w:t>
      </w:r>
    </w:p>
    <w:p w:rsidR="00443225" w:rsidRDefault="00C7408D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（四）打造“卓越”品牌，引领区域教师队伍素质整体提升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在遴选与培养过程中同步积累评价数据和成长素材，提炼形成符合宝山教育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特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质的教育家型校长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和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教师的素质模型和人才画像，辐射覆盖区域教师队伍的整体塑造，发挥高层次教育人才培养引领作用，形成宝山教育“卓越”品牌。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黑体" w:hAnsi="宋体" w:cs="仿宋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六、培养举措</w:t>
      </w:r>
    </w:p>
    <w:p w:rsidR="00443225" w:rsidRDefault="00C7408D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kern w:val="0"/>
          <w:sz w:val="32"/>
          <w:szCs w:val="32"/>
        </w:rPr>
      </w:pPr>
      <w:r>
        <w:rPr>
          <w:rStyle w:val="a4"/>
          <w:rFonts w:ascii="楷体_GB2312" w:eastAsia="楷体_GB2312" w:hAnsi="楷体_GB2312" w:cs="楷体_GB2312" w:hint="eastAsia"/>
          <w:b/>
          <w:sz w:val="32"/>
          <w:szCs w:val="32"/>
        </w:rPr>
        <w:t>（一）卓越校长计划</w:t>
      </w:r>
    </w:p>
    <w:p w:rsidR="00443225" w:rsidRDefault="00C7408D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导师引领，助教助力，提炼校长办学思想和实践经验。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组建上海市教育名家导师团进行学员带教。每个研修团队由</w:t>
      </w:r>
      <w:r>
        <w:rPr>
          <w:rFonts w:ascii="仿宋_GB2312" w:eastAsia="仿宋_GB2312" w:hAnsi="宋体" w:cs="仿宋"/>
          <w:kern w:val="0"/>
          <w:sz w:val="32"/>
          <w:szCs w:val="32"/>
        </w:rPr>
        <w:t>1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名导师、</w:t>
      </w:r>
      <w:r>
        <w:rPr>
          <w:rFonts w:ascii="仿宋_GB2312" w:eastAsia="仿宋_GB2312" w:hAnsi="宋体" w:cs="仿宋"/>
          <w:kern w:val="0"/>
          <w:sz w:val="32"/>
          <w:szCs w:val="32"/>
        </w:rPr>
        <w:t>1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名助教（博士生或者副教授）及</w:t>
      </w:r>
      <w:r>
        <w:rPr>
          <w:rFonts w:ascii="仿宋_GB2312" w:eastAsia="仿宋_GB2312" w:hAnsi="宋体" w:cs="仿宋"/>
          <w:kern w:val="0"/>
          <w:sz w:val="32"/>
          <w:szCs w:val="32"/>
        </w:rPr>
        <w:t>3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至</w:t>
      </w:r>
      <w:r>
        <w:rPr>
          <w:rFonts w:ascii="仿宋_GB2312" w:eastAsia="仿宋_GB2312" w:hAnsi="宋体" w:cs="仿宋"/>
          <w:kern w:val="0"/>
          <w:sz w:val="32"/>
          <w:szCs w:val="32"/>
        </w:rPr>
        <w:t>4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名学员构成，每学期</w:t>
      </w:r>
      <w:r>
        <w:rPr>
          <w:rFonts w:ascii="仿宋_GB2312" w:eastAsia="仿宋_GB2312" w:hAnsi="宋体" w:cs="仿宋"/>
          <w:kern w:val="0"/>
          <w:sz w:val="32"/>
          <w:szCs w:val="32"/>
        </w:rPr>
        <w:t>2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次在学员学校进行实践指导，每次活动全员全程参与。导师以诊断式教学方式逐层深入推进学员课题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研究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，同步建构校长办学新思想和新境界。助教协助校长总结教育思想和实践经验，指导完成课题报告。</w:t>
      </w:r>
    </w:p>
    <w:p w:rsidR="00443225" w:rsidRDefault="00C7408D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视野开拓，能力建构，提升办学眼界激发管理潜能。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引入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知名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专家资源和国际教育资源，从国际前沿教育理论和教育管理实践入手，以工作坊学习方式，开阔视野，提升学员研究和管理素养。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有针对性导入管理类课程，从管理学角度引导学员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构建问题解决的新思维，实现跨界联动，迁移提升。</w:t>
      </w:r>
    </w:p>
    <w:p w:rsidR="00443225" w:rsidRDefault="00C7408D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行动研究，实地研学，强化理论与实践双提升。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坚持“学员主体”定位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，以课题驱动方式引领学员进行学校办学的深度思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考与改进探索，将行动研究、专家现场诊断教学、工作坊研究等研究方式贯穿始终，提升培训效能。安排实地研学，借鉴不同地区学校管理办法，用直观的方式、比较的方法获得管理思想和技能的改进。</w:t>
      </w:r>
    </w:p>
    <w:p w:rsidR="00443225" w:rsidRDefault="00C7408D">
      <w:pPr>
        <w:spacing w:line="560" w:lineRule="exact"/>
        <w:ind w:firstLineChars="200" w:firstLine="643"/>
        <w:rPr>
          <w:rStyle w:val="a4"/>
          <w:rFonts w:ascii="楷体_GB2312" w:eastAsia="楷体_GB2312" w:hAnsi="楷体_GB2312" w:cs="楷体_GB2312"/>
          <w:b/>
          <w:sz w:val="32"/>
          <w:szCs w:val="32"/>
        </w:rPr>
      </w:pPr>
      <w:r>
        <w:rPr>
          <w:rStyle w:val="a4"/>
          <w:rFonts w:ascii="楷体_GB2312" w:eastAsia="楷体_GB2312" w:hAnsi="楷体_GB2312" w:cs="楷体_GB2312" w:hint="eastAsia"/>
          <w:b/>
          <w:sz w:val="32"/>
          <w:szCs w:val="32"/>
        </w:rPr>
        <w:t>（二）卓越教师计划</w:t>
      </w:r>
    </w:p>
    <w:p w:rsidR="00443225" w:rsidRDefault="00C7408D">
      <w:pPr>
        <w:spacing w:line="560" w:lineRule="exact"/>
        <w:ind w:firstLineChars="200" w:firstLine="643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专题培训，考察交流，系统提升学科综合素养。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分阶段安排专题培训，形式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包括专家讲座、案例研讨、场景模拟、学术论坛等，内容包括教师通识素养、学科专业知识、现代教育理念、国际教育前沿问题、课堂教学创新等。组织考察交流，内容包括基础教育国际化、教学技能改进、教研能力提升、学校文化建设、学校制度建设、信息化建设等，学员通过观察与研讨锻炼学思辩悟能力。</w:t>
      </w:r>
    </w:p>
    <w:p w:rsidR="00443225" w:rsidRDefault="00C7408D">
      <w:pPr>
        <w:spacing w:line="560" w:lineRule="exact"/>
        <w:ind w:firstLineChars="200" w:firstLine="643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课题研究，课堂改进，着力提升课改实战能力。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结对专业导师，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通过实地考察、实务指导等多种方式</w:t>
      </w:r>
      <w:r>
        <w:rPr>
          <w:rFonts w:ascii="仿宋_GB2312" w:eastAsia="仿宋_GB2312" w:hAnsi="宋体" w:cs="仿宋"/>
          <w:kern w:val="0"/>
          <w:sz w:val="32"/>
          <w:szCs w:val="32"/>
        </w:rPr>
        <w:t>,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帮助学员分析工作实际，确立并开展教育教学改革课题研究，指导学员撰写课题报告与论文。进驻学员课堂，改进学员课堂教学技能，开发特色课堂案例，帮助学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员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逐步形成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并提炼教学风格。</w:t>
      </w:r>
    </w:p>
    <w:p w:rsidR="00443225" w:rsidRDefault="00C7408D">
      <w:pPr>
        <w:spacing w:line="560" w:lineRule="exact"/>
        <w:ind w:firstLineChars="200" w:firstLine="643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学术交流，成果推介，提炼形成教学思想和教学风格。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学员轮流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主持学术工作坊</w:t>
      </w:r>
      <w:bookmarkStart w:id="0" w:name="_GoBack"/>
      <w:bookmarkEnd w:id="0"/>
      <w:r>
        <w:rPr>
          <w:rFonts w:ascii="仿宋_GB2312" w:eastAsia="仿宋_GB2312" w:hAnsi="宋体" w:cs="仿宋" w:hint="eastAsia"/>
          <w:kern w:val="0"/>
          <w:sz w:val="32"/>
          <w:szCs w:val="32"/>
        </w:rPr>
        <w:t>研修，导师、学员及其他特聘专家可灵活组队共同设定交流主题，定期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分享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工作经验、实践案例，研讨存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lastRenderedPageBreak/>
        <w:t>在问题和改进策略。在导师指导下，积累并梳理形成个人标志性成果，通过高校和市级平台向外推广成果运用。引导学员面向教育现场，围绕教学管理、课程教学、学生发展等实际问题进行研究反思，总结形成个性化的教学思想和教学风格。</w:t>
      </w:r>
    </w:p>
    <w:p w:rsidR="00443225" w:rsidRDefault="00C7408D">
      <w:pPr>
        <w:spacing w:line="560" w:lineRule="exact"/>
        <w:ind w:firstLine="56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七、实施步骤</w:t>
      </w:r>
    </w:p>
    <w:p w:rsidR="00443225" w:rsidRDefault="00C7408D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（一）项目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TW"/>
        </w:rPr>
        <w:t>启动阶段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组建项目领导小组和工作小组，完成项目立项、经费保障、学员遴选、专家邀请以及日常联络、管理、协调等工作。建立导师和学员的师徒关系，导师初步熟悉学员学校。</w:t>
      </w:r>
    </w:p>
    <w:p w:rsidR="00443225" w:rsidRDefault="00C7408D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TW"/>
        </w:rPr>
        <w:t>（二）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TW"/>
        </w:rPr>
        <w:t>动态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实施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TW"/>
        </w:rPr>
        <w:t>阶段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实施以专家授课、课题研究、实务研讨、实地考察、专题工作坊、个人讲座等相结合的项目研修。学员在导师带领下确立课题，并以行动研究方式开展研究，完成研究报告与科研论文。帮助学员归纳形成有利于提升教育教学与管理质量、有一定外部影响力的若干实践模式。组织开展项目中期展示，汇报阶段性研究成果。</w:t>
      </w:r>
    </w:p>
    <w:p w:rsidR="00443225" w:rsidRDefault="00C7408D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TW"/>
        </w:rPr>
        <w:t>（三）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TW"/>
        </w:rPr>
        <w:t>评估总结阶段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邀请专家组对学员课题研究情况、学校办学治学情况进行评估。同时，学员在导师指导和助教协助下，完成对办学思想及教学风格的总结提炼。</w:t>
      </w:r>
    </w:p>
    <w:p w:rsidR="00443225" w:rsidRDefault="00C7408D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TW"/>
        </w:rPr>
        <w:t>（四）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lang w:val="zh-TW"/>
        </w:rPr>
        <w:t>成果展示阶段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依托高校、市区两级展示平台，为学员创造多元展示、答辩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lastRenderedPageBreak/>
        <w:t>机会，组织高规格学术交流及成果集中展示，由专家组进行研修结果评定。</w:t>
      </w:r>
    </w:p>
    <w:p w:rsidR="00443225" w:rsidRDefault="00C7408D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八、组织保障</w:t>
      </w:r>
    </w:p>
    <w:p w:rsidR="00443225" w:rsidRDefault="00C7408D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（一）加强组织领导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成立“卓越工程”项目领导小组，对项目进行整体规划、实时指导、评估考核和政策支持。领导小组下设工作小组，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由区教育局和区教育学院相关职能部门组成，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具体负责落实项目审批立项、学员管理、专家联络、组织协调等工作。</w:t>
      </w:r>
    </w:p>
    <w:p w:rsidR="00443225" w:rsidRDefault="00C7408D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（二）加强专业指导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聘请组建项目专家组，在专业导师全程指导下推进项目实施。在分析学员个人能力现状、进行职业诊断基础上，定制个性化课程，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指导学员开展实践项目的实施、教学案例的开发、论文的撰写和项目的申请等工作，助推学员专业发展。</w:t>
      </w:r>
      <w:r>
        <w:rPr>
          <w:rFonts w:ascii="仿宋_GB2312" w:eastAsia="仿宋_GB2312" w:hAnsi="宋体" w:cs="仿宋"/>
          <w:kern w:val="0"/>
          <w:sz w:val="32"/>
          <w:szCs w:val="32"/>
        </w:rPr>
        <w:t xml:space="preserve"> </w:t>
      </w:r>
    </w:p>
    <w:p w:rsidR="00443225" w:rsidRDefault="00C7408D">
      <w:pPr>
        <w:numPr>
          <w:ilvl w:val="0"/>
          <w:numId w:val="2"/>
        </w:numPr>
        <w:autoSpaceDE w:val="0"/>
        <w:autoSpaceDN w:val="0"/>
        <w:adjustRightInd w:val="0"/>
        <w:spacing w:line="560" w:lineRule="exact"/>
        <w:ind w:firstLineChars="196" w:firstLine="63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加强政策支持</w:t>
      </w:r>
    </w:p>
    <w:p w:rsidR="00443225" w:rsidRDefault="00C7408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建立卓越校长卓越教师发展专项资金，保障项目顺利开展。加强与华东师范大学、上海市师资培训中心的合作，积极搭建市级以上平台，为学员提供多种展示机会，加强媒体宣传报道力度，提升本区优秀校长教师在全市、全国的知名度和影响力。</w:t>
      </w:r>
    </w:p>
    <w:p w:rsidR="00443225" w:rsidRDefault="00C7408D">
      <w:pPr>
        <w:numPr>
          <w:ilvl w:val="0"/>
          <w:numId w:val="2"/>
        </w:numPr>
        <w:spacing w:line="560" w:lineRule="exact"/>
        <w:ind w:firstLineChars="196" w:firstLine="63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加强机制创新</w:t>
      </w:r>
    </w:p>
    <w:p w:rsidR="00443225" w:rsidRDefault="00C7408D">
      <w:pPr>
        <w:spacing w:line="560" w:lineRule="exact"/>
        <w:ind w:firstLineChars="200" w:firstLine="640"/>
        <w:rPr>
          <w:rFonts w:ascii="仿宋_GB2312" w:eastAsia="仿宋_GB2312" w:hAnsi="宋体" w:cs="仿宋"/>
          <w:kern w:val="0"/>
          <w:sz w:val="32"/>
          <w:szCs w:val="32"/>
        </w:rPr>
      </w:pPr>
      <w:r>
        <w:rPr>
          <w:rFonts w:ascii="仿宋_GB2312" w:eastAsia="仿宋_GB2312" w:hAnsi="宋体" w:cs="仿宋" w:hint="eastAsia"/>
          <w:kern w:val="0"/>
          <w:sz w:val="32"/>
          <w:szCs w:val="32"/>
        </w:rPr>
        <w:t>探索形成项目培训考核与校长教师绩效考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核的有机整合，突出教育创新和课程改革实绩评价；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完善新时期骨干校长教师选拨、培养及评价的系列制度。引入培训淘汰暂退机制，鼓励条件成熟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lastRenderedPageBreak/>
        <w:t>学员优先主动学习，</w:t>
      </w:r>
      <w:r>
        <w:rPr>
          <w:rFonts w:ascii="仿宋_GB2312" w:eastAsia="仿宋_GB2312" w:hAnsi="宋体" w:cs="仿宋" w:hint="eastAsia"/>
          <w:kern w:val="0"/>
          <w:sz w:val="32"/>
          <w:szCs w:val="32"/>
        </w:rPr>
        <w:t>对优秀学员办学、评优评先等给予适当的政策倾斜。</w:t>
      </w:r>
    </w:p>
    <w:p w:rsidR="00443225" w:rsidRDefault="00443225">
      <w:pPr>
        <w:rPr>
          <w:rFonts w:ascii="黑体" w:eastAsia="黑体" w:hAnsi="黑体" w:cs="黑体"/>
          <w:sz w:val="32"/>
          <w:szCs w:val="32"/>
        </w:rPr>
      </w:pPr>
    </w:p>
    <w:sectPr w:rsidR="00443225" w:rsidSect="00443225">
      <w:pgSz w:w="11906" w:h="16838"/>
      <w:pgMar w:top="2098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08D" w:rsidRDefault="00C7408D" w:rsidP="00E72B27">
      <w:r>
        <w:separator/>
      </w:r>
    </w:p>
  </w:endnote>
  <w:endnote w:type="continuationSeparator" w:id="0">
    <w:p w:rsidR="00C7408D" w:rsidRDefault="00C7408D" w:rsidP="00E72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08D" w:rsidRDefault="00C7408D" w:rsidP="00E72B27">
      <w:r>
        <w:separator/>
      </w:r>
    </w:p>
  </w:footnote>
  <w:footnote w:type="continuationSeparator" w:id="0">
    <w:p w:rsidR="00C7408D" w:rsidRDefault="00C7408D" w:rsidP="00E72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F8D5D0"/>
    <w:multiLevelType w:val="singleLevel"/>
    <w:tmpl w:val="9CF8D5D0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D9DDF824"/>
    <w:multiLevelType w:val="singleLevel"/>
    <w:tmpl w:val="D9DDF824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D9FA0E47"/>
    <w:multiLevelType w:val="singleLevel"/>
    <w:tmpl w:val="D9FA0E47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1068CE"/>
    <w:rsid w:val="00443225"/>
    <w:rsid w:val="00C7408D"/>
    <w:rsid w:val="00E72B27"/>
    <w:rsid w:val="02163400"/>
    <w:rsid w:val="058F64FE"/>
    <w:rsid w:val="14387C2D"/>
    <w:rsid w:val="18587600"/>
    <w:rsid w:val="300E336B"/>
    <w:rsid w:val="394C5BFA"/>
    <w:rsid w:val="55B00765"/>
    <w:rsid w:val="721068CE"/>
    <w:rsid w:val="76153B11"/>
    <w:rsid w:val="77A9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2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4432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annotation reference"/>
    <w:basedOn w:val="a0"/>
    <w:uiPriority w:val="99"/>
    <w:qFormat/>
    <w:rsid w:val="00443225"/>
    <w:rPr>
      <w:rFonts w:cs="Times New Roman"/>
      <w:sz w:val="21"/>
    </w:rPr>
  </w:style>
  <w:style w:type="paragraph" w:styleId="a5">
    <w:name w:val="header"/>
    <w:basedOn w:val="a"/>
    <w:link w:val="Char"/>
    <w:rsid w:val="00E72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2B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王燕平</dc:creator>
  <cp:lastModifiedBy>Administrator</cp:lastModifiedBy>
  <cp:revision>2</cp:revision>
  <dcterms:created xsi:type="dcterms:W3CDTF">2020-04-07T08:29:00Z</dcterms:created>
  <dcterms:modified xsi:type="dcterms:W3CDTF">2020-04-07T08:29:00Z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